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body>
    <w:p w:rsidR="00461E87" w:rsidRDefault="0084329F" w:rsidP="001E43F8">
      <w:pPr>
        <w:suppressAutoHyphens/>
        <w:jc w:val="both"/>
        <w:rPr>
          <w:rFonts w:ascii="Times New Roman" w:hAnsi="Times New Roman"/>
          <w:b/>
          <w:sz w:val="29"/>
          <w:u w:val="single"/>
          <w:lang w:val="en-GB"/>
        </w:rPr>
      </w:pPr>
      <w:r>
        <w:rPr>
          <w:rFonts w:ascii="Times New Roman" w:hAnsi="Times New Roman"/>
          <w:b/>
          <w:noProof/>
          <w:sz w:val="29"/>
          <w:u w:val="single"/>
        </w:rPr>
        <w:drawing>
          <wp:inline distT="0" distB="0" distL="0" distR="0">
            <wp:extent cx="5730240" cy="1303020"/>
            <wp:effectExtent l="0" t="0" r="3810" b="0"/>
            <wp:docPr id="1" name="Picture 1" descr="CR_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invest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1303020"/>
                    </a:xfrm>
                    <a:prstGeom prst="rect">
                      <a:avLst/>
                    </a:prstGeom>
                    <a:noFill/>
                    <a:ln>
                      <a:noFill/>
                    </a:ln>
                  </pic:spPr>
                </pic:pic>
              </a:graphicData>
            </a:graphic>
          </wp:inline>
        </w:drawing>
      </w:r>
      <w:bookmarkStart w:id="0" w:name="_GoBack"/>
      <w:bookmarkEnd w:id="0"/>
    </w:p>
    <w:p w:rsidR="00461E87" w:rsidRDefault="00461E87" w:rsidP="001E43F8">
      <w:pPr>
        <w:suppressAutoHyphens/>
        <w:jc w:val="both"/>
        <w:rPr>
          <w:rFonts w:ascii="Times New Roman" w:hAnsi="Times New Roman"/>
          <w:b/>
          <w:sz w:val="29"/>
          <w:u w:val="single"/>
          <w:lang w:val="en-GB"/>
        </w:rPr>
      </w:pPr>
    </w:p>
    <w:p w:rsidR="001E43F8" w:rsidRPr="00D20362" w:rsidRDefault="001E43F8" w:rsidP="001E43F8">
      <w:pPr>
        <w:suppressAutoHyphens/>
        <w:jc w:val="both"/>
        <w:rPr>
          <w:rFonts w:ascii="Times New Roman" w:hAnsi="Times New Roman"/>
          <w:sz w:val="24"/>
          <w:u w:val="single"/>
          <w:lang w:val="en-GB"/>
        </w:rPr>
      </w:pPr>
      <w:r>
        <w:rPr>
          <w:rFonts w:ascii="Times New Roman" w:hAnsi="Times New Roman"/>
          <w:b/>
          <w:sz w:val="29"/>
          <w:u w:val="single"/>
          <w:lang w:val="en-GB"/>
        </w:rPr>
        <w:t>HIGH CASH FLOW-RELATIVE STRENGTH PORTFOLIOS</w:t>
      </w:r>
      <w:r>
        <w:rPr>
          <w:rFonts w:ascii="Times New Roman" w:hAnsi="Times New Roman"/>
          <w:sz w:val="24"/>
          <w:u w:val="single"/>
          <w:lang w:val="en-GB"/>
        </w:rPr>
        <w:fldChar w:fldCharType="begin"/>
      </w:r>
      <w:r>
        <w:rPr>
          <w:rFonts w:ascii="Times New Roman" w:hAnsi="Times New Roman"/>
          <w:sz w:val="24"/>
          <w:u w:val="single"/>
          <w:lang w:val="en-GB"/>
        </w:rPr>
        <w:instrText xml:space="preserve">PRIVATE </w:instrText>
      </w:r>
      <w:r>
        <w:rPr>
          <w:rFonts w:ascii="Times New Roman" w:hAnsi="Times New Roman"/>
          <w:u w:val="single"/>
          <w:lang w:val="en-GB"/>
        </w:rPr>
      </w:r>
      <w:r>
        <w:rPr>
          <w:rFonts w:ascii="Times New Roman" w:hAnsi="Times New Roman"/>
          <w:sz w:val="24"/>
          <w:u w:val="single"/>
          <w:lang w:val="en-GB"/>
        </w:rPr>
        <w:fldChar w:fldCharType="end"/>
      </w:r>
    </w:p>
    <w:p w:rsidR="001E43F8" w:rsidRPr="00DB247F" w:rsidRDefault="001E43F8" w:rsidP="001E43F8">
      <w:pPr>
        <w:tabs>
          <w:tab w:val="left" w:pos="-720"/>
        </w:tabs>
        <w:suppressAutoHyphens/>
        <w:rPr>
          <w:rFonts w:ascii="Times New Roman" w:hAnsi="Times New Roman"/>
          <w:sz w:val="24"/>
          <w:szCs w:val="24"/>
          <w:lang w:val="en-GB"/>
        </w:rPr>
      </w:pPr>
    </w:p>
    <w:p w:rsidR="001E43F8" w:rsidRPr="00DB247F" w:rsidRDefault="001E43F8" w:rsidP="001E43F8">
      <w:pPr>
        <w:tabs>
          <w:tab w:val="left" w:pos="-720"/>
        </w:tabs>
        <w:suppressAutoHyphens/>
        <w:rPr>
          <w:rFonts w:ascii="Times New Roman" w:hAnsi="Times New Roman"/>
          <w:sz w:val="24"/>
          <w:szCs w:val="24"/>
          <w:lang w:val="en-GB"/>
        </w:rPr>
      </w:pPr>
      <w:r w:rsidRPr="00DB247F">
        <w:rPr>
          <w:rFonts w:ascii="Times New Roman" w:hAnsi="Times New Roman"/>
          <w:sz w:val="24"/>
          <w:szCs w:val="24"/>
          <w:lang w:val="en-GB"/>
        </w:rPr>
        <w:t>Fidelity’s Peter Lynch has been quoted as saying that share price follows earnings. We agree with this statement, but we also believe that share price follows cash flow better.</w:t>
      </w:r>
      <w:r>
        <w:rPr>
          <w:rFonts w:ascii="Times New Roman" w:hAnsi="Times New Roman"/>
          <w:sz w:val="24"/>
          <w:szCs w:val="24"/>
          <w:lang w:val="en-GB"/>
        </w:rPr>
        <w:t xml:space="preserve"> This presentation demonstrates that the use of cash flow as a selection criteria combined with the concept of relative strength leads to superior performance.</w:t>
      </w:r>
    </w:p>
    <w:p w:rsidR="001E43F8" w:rsidRDefault="001E43F8" w:rsidP="001E43F8">
      <w:pPr>
        <w:tabs>
          <w:tab w:val="left" w:pos="-720"/>
        </w:tabs>
        <w:suppressAutoHyphens/>
        <w:rPr>
          <w:rFonts w:ascii="Times New Roman" w:hAnsi="Times New Roman"/>
          <w:lang w:val="en-GB"/>
        </w:rPr>
      </w:pPr>
    </w:p>
    <w:p w:rsidR="001E43F8" w:rsidRDefault="001E43F8" w:rsidP="001E43F8">
      <w:pPr>
        <w:pStyle w:val="Heading1"/>
        <w:rPr>
          <w:b/>
        </w:rPr>
      </w:pPr>
      <w:r>
        <w:rPr>
          <w:b/>
        </w:rPr>
        <w:t>Inflation Versus Disinflation</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tabs>
          <w:tab w:val="left" w:pos="-720"/>
        </w:tabs>
        <w:suppressAutoHyphens/>
        <w:rPr>
          <w:rFonts w:ascii="Times New Roman" w:hAnsi="Times New Roman"/>
          <w:sz w:val="24"/>
          <w:lang w:val="en-GB"/>
        </w:rPr>
      </w:pPr>
      <w:r>
        <w:rPr>
          <w:rFonts w:ascii="Times New Roman" w:hAnsi="Times New Roman"/>
          <w:sz w:val="24"/>
          <w:lang w:val="en-GB"/>
        </w:rPr>
        <w:t>Theme investing is an approach that attempts to identify and profit from the onset of a longer-term economic or financial trend. For example, the inflationary environment of the 1970s caught Wall Street by surprise. Asset-rich stocks such as gold and energy shares outperformed, and value investing was the most profitable approach. This period ended in 1980, bringing in a period that favored growth analysis. This technique led many investors to place funds in technology stocks, thereby generating very high returns. Theme investing seeks to identify and capitalize upon a trend which will remain in force for some time. The inflationary psychology lasted for more than a decade; the disinflation theme is now in its twentieth year. Thus, the portfolio manager can let his profits run and not be concerned about high valuations or overweighting of stocks in his portfolio, if the manager understands the implications of theme investing.</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pStyle w:val="Heading1"/>
        <w:rPr>
          <w:b/>
        </w:rPr>
      </w:pPr>
      <w:r>
        <w:rPr>
          <w:b/>
        </w:rPr>
        <w:t>Identifying Disinflation Hedges by Cash Flow Generation</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tabs>
          <w:tab w:val="left" w:pos="-720"/>
        </w:tabs>
        <w:suppressAutoHyphens/>
        <w:rPr>
          <w:rFonts w:ascii="Times New Roman" w:hAnsi="Times New Roman"/>
          <w:sz w:val="24"/>
          <w:lang w:val="en-GB"/>
        </w:rPr>
      </w:pPr>
      <w:r>
        <w:rPr>
          <w:rFonts w:ascii="Times New Roman" w:hAnsi="Times New Roman"/>
          <w:sz w:val="24"/>
          <w:lang w:val="en-GB"/>
        </w:rPr>
        <w:t>The rationale behind this cashflow approach is that inflation hedges, companies with physical assets such as oil or real estate, were the leaders in the 1970's. With the onset of disinflation, it was reasonable to assume that stocks that are the reverse of companies with physical assets would be the leaders. Paper assets are the opposite of hard assets. So, high cash flow generators were designated to be this opposite group. Since each dollar of cash is more valuable (or is depreciating less rapidly) when the prices of physicals decrease, the cash generators will likely rise during disinflation.</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tabs>
          <w:tab w:val="left" w:pos="-720"/>
        </w:tabs>
        <w:suppressAutoHyphens/>
        <w:rPr>
          <w:rFonts w:ascii="Times New Roman" w:hAnsi="Times New Roman"/>
          <w:sz w:val="24"/>
          <w:lang w:val="en-GB"/>
        </w:rPr>
      </w:pPr>
      <w:r>
        <w:rPr>
          <w:rFonts w:ascii="Times New Roman" w:hAnsi="Times New Roman"/>
          <w:sz w:val="24"/>
          <w:lang w:val="en-GB"/>
        </w:rPr>
        <w:t xml:space="preserve">Cashflow analysis has advantages over traditional earnings-per-share analysis. First, net income represents only about a third of gross cashflow. Second, earnings are subject to accounting distortions. </w:t>
      </w:r>
      <w:r w:rsidR="00665017">
        <w:rPr>
          <w:rFonts w:ascii="Times New Roman" w:hAnsi="Times New Roman"/>
          <w:sz w:val="24"/>
          <w:lang w:val="en-GB"/>
        </w:rPr>
        <w:t>For example, i</w:t>
      </w:r>
      <w:r w:rsidR="00C53053">
        <w:rPr>
          <w:rFonts w:ascii="Times New Roman" w:hAnsi="Times New Roman"/>
          <w:sz w:val="24"/>
          <w:lang w:val="en-GB"/>
        </w:rPr>
        <w:t xml:space="preserve">n 2017, the new FASB 606 rule </w:t>
      </w:r>
      <w:r w:rsidR="00D6642D">
        <w:rPr>
          <w:rFonts w:ascii="Times New Roman" w:hAnsi="Times New Roman"/>
          <w:sz w:val="24"/>
          <w:lang w:val="en-GB"/>
        </w:rPr>
        <w:t xml:space="preserve">will increase earnings volatility for some companies while free cash flow will be less impacted. </w:t>
      </w:r>
      <w:r>
        <w:rPr>
          <w:rFonts w:ascii="Times New Roman" w:hAnsi="Times New Roman"/>
          <w:sz w:val="24"/>
          <w:lang w:val="en-GB"/>
        </w:rPr>
        <w:t>And, research by Merrill Lynch’s quantitative unit demonstrates that the ability of analysts to predict earnings is limited. Their analysis reveals that the projection of continuing low growth (less than 5 percent) for slow-growing companies tends to be most accurate. These estimates were accurate over a five-year period about 75 percent of the time. The projection of continuing high growth (more than 20 percent) for the fastest-growing companies tends to be second most accurate. These estimates were accurate over 5 years about 40 percent of the time. In the first case, the stocks tend to underperform. In the second, the stocks tend to outperform, but the stocks of those companies that fail to meet projections (60 percent) suffer severely. In fact, 24 percent of the estimates were dramatically inaccurate.</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tabs>
          <w:tab w:val="left" w:pos="-720"/>
        </w:tabs>
        <w:suppressAutoHyphens/>
        <w:rPr>
          <w:rFonts w:ascii="Times New Roman" w:hAnsi="Times New Roman"/>
          <w:sz w:val="24"/>
          <w:lang w:val="en-GB"/>
        </w:rPr>
      </w:pPr>
      <w:r>
        <w:rPr>
          <w:rFonts w:ascii="Times New Roman" w:hAnsi="Times New Roman"/>
          <w:sz w:val="24"/>
          <w:lang w:val="en-GB"/>
        </w:rPr>
        <w:t xml:space="preserve">The point is that investors pay for real economic performance as measured by cashflow and not necessarily for accounting performance as measured by earnings per share. A unique </w:t>
      </w:r>
      <w:r w:rsidR="0096251E">
        <w:rPr>
          <w:rFonts w:ascii="Times New Roman" w:hAnsi="Times New Roman"/>
          <w:sz w:val="24"/>
          <w:lang w:val="en-GB"/>
        </w:rPr>
        <w:t xml:space="preserve">and proprietary </w:t>
      </w:r>
      <w:r>
        <w:rPr>
          <w:rFonts w:ascii="Times New Roman" w:hAnsi="Times New Roman"/>
          <w:sz w:val="24"/>
          <w:lang w:val="en-GB"/>
        </w:rPr>
        <w:t>cashflow measurement is utilized to screen companies. The list is then sorted to determine the top 100 companies on this basis. The accumulated cash will likely be put to one of these four uses by the companies:</w:t>
      </w:r>
    </w:p>
    <w:p w:rsidR="001E43F8" w:rsidRDefault="001E43F8" w:rsidP="001E43F8">
      <w:pPr>
        <w:tabs>
          <w:tab w:val="left" w:pos="-720"/>
        </w:tabs>
        <w:suppressAutoHyphens/>
        <w:rPr>
          <w:rFonts w:ascii="Times New Roman" w:hAnsi="Times New Roman"/>
          <w:sz w:val="24"/>
          <w:lang w:val="en-GB"/>
        </w:rPr>
      </w:pPr>
    </w:p>
    <w:p w:rsidR="001E43F8" w:rsidRDefault="001E43F8" w:rsidP="001E43F8">
      <w:pPr>
        <w:tabs>
          <w:tab w:val="left" w:pos="0"/>
          <w:tab w:val="left" w:pos="432"/>
          <w:tab w:val="left" w:pos="720"/>
        </w:tabs>
        <w:suppressAutoHyphens/>
        <w:ind w:left="432" w:hanging="432"/>
        <w:rPr>
          <w:rFonts w:ascii="Times New Roman" w:hAnsi="Times New Roman"/>
          <w:sz w:val="24"/>
          <w:lang w:val="en-GB"/>
        </w:rPr>
      </w:pPr>
      <w:r>
        <w:rPr>
          <w:rFonts w:ascii="Times New Roman" w:hAnsi="Times New Roman"/>
          <w:sz w:val="24"/>
          <w:lang w:val="en-GB"/>
        </w:rPr>
        <w:t>*Be paid out as dividends</w:t>
      </w:r>
    </w:p>
    <w:p w:rsidR="001E43F8" w:rsidRDefault="001E43F8" w:rsidP="001E43F8">
      <w:pPr>
        <w:tabs>
          <w:tab w:val="left" w:pos="0"/>
          <w:tab w:val="left" w:pos="432"/>
          <w:tab w:val="left" w:pos="720"/>
        </w:tabs>
        <w:suppressAutoHyphens/>
        <w:ind w:left="432" w:hanging="432"/>
        <w:rPr>
          <w:rFonts w:ascii="Times New Roman" w:hAnsi="Times New Roman"/>
          <w:sz w:val="24"/>
          <w:lang w:val="en-GB"/>
        </w:rPr>
      </w:pPr>
      <w:r>
        <w:rPr>
          <w:rFonts w:ascii="Times New Roman" w:hAnsi="Times New Roman"/>
          <w:sz w:val="24"/>
          <w:lang w:val="en-GB"/>
        </w:rPr>
        <w:t>*Be utilized to buy back shares</w:t>
      </w:r>
    </w:p>
    <w:p w:rsidR="001E43F8" w:rsidRDefault="001E43F8" w:rsidP="001E43F8">
      <w:pPr>
        <w:tabs>
          <w:tab w:val="left" w:pos="0"/>
          <w:tab w:val="left" w:pos="432"/>
          <w:tab w:val="left" w:pos="720"/>
        </w:tabs>
        <w:suppressAutoHyphens/>
        <w:ind w:left="432" w:hanging="432"/>
        <w:rPr>
          <w:rFonts w:ascii="Times New Roman" w:hAnsi="Times New Roman"/>
          <w:sz w:val="24"/>
          <w:lang w:val="en-GB"/>
        </w:rPr>
      </w:pPr>
      <w:r>
        <w:rPr>
          <w:rFonts w:ascii="Times New Roman" w:hAnsi="Times New Roman"/>
          <w:sz w:val="24"/>
          <w:lang w:val="en-GB"/>
        </w:rPr>
        <w:t>*Be employed to acquire other companies or to expand operations</w:t>
      </w:r>
    </w:p>
    <w:p w:rsidR="001E43F8" w:rsidRDefault="001E43F8" w:rsidP="001E43F8">
      <w:pPr>
        <w:tabs>
          <w:tab w:val="left" w:pos="0"/>
          <w:tab w:val="left" w:pos="432"/>
          <w:tab w:val="left" w:pos="720"/>
        </w:tabs>
        <w:suppressAutoHyphens/>
        <w:ind w:left="432" w:hanging="432"/>
        <w:rPr>
          <w:rFonts w:ascii="Times New Roman" w:hAnsi="Times New Roman"/>
          <w:sz w:val="24"/>
          <w:lang w:val="en-GB"/>
        </w:rPr>
      </w:pPr>
      <w:r>
        <w:rPr>
          <w:rFonts w:ascii="Times New Roman" w:hAnsi="Times New Roman"/>
          <w:sz w:val="24"/>
          <w:lang w:val="en-GB"/>
        </w:rPr>
        <w:t xml:space="preserve">*The cash will accumulate, which may lead to the company itself becoming a takeover target. </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The 100 highest cashflow generators were entered into a portfolio reporting system at the beginning of each year. At the end of the year, the portfolio was sold and re-invested on the first of the </w:t>
      </w:r>
      <w:r w:rsidR="00A40971">
        <w:rPr>
          <w:rFonts w:ascii="Times New Roman" w:hAnsi="Times New Roman"/>
          <w:sz w:val="24"/>
          <w:lang w:val="en-GB"/>
        </w:rPr>
        <w:t>New Year</w:t>
      </w:r>
      <w:r>
        <w:rPr>
          <w:rFonts w:ascii="Times New Roman" w:hAnsi="Times New Roman"/>
          <w:sz w:val="24"/>
          <w:lang w:val="en-GB"/>
        </w:rPr>
        <w:t xml:space="preserve"> in the highest cashflow generators on that date. The performance versus 3 benchmarks was calculated and is summarized below. This test assumed that an equal dollar amount was placed in each stock from the beginning of the year to yearend. </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p>
    <w:tbl>
      <w:tblPr>
        <w:tblW w:w="0" w:type="auto"/>
        <w:tblInd w:w="120" w:type="dxa"/>
        <w:tblCellMar>
          <w:left w:w="120" w:type="dxa"/>
          <w:right w:w="120" w:type="dxa"/>
        </w:tblCellMar>
        <w:tblLook w:val="0000" w:firstRow="0" w:lastRow="0" w:firstColumn="0" w:lastColumn="0" w:noHBand="0" w:noVBand="0"/>
      </w:tblPr>
      <w:tblGrid>
        <w:gridCol w:w="1800"/>
        <w:gridCol w:w="1800"/>
        <w:gridCol w:w="1800"/>
        <w:gridCol w:w="1800"/>
        <w:gridCol w:w="1800"/>
      </w:tblGrid>
      <w:tr w:rsidR="001E43F8" w:rsidTr="00AC2FE0">
        <w:tblPrEx>
          <w:tblCellMar>
            <w:top w:w="0" w:type="dxa"/>
            <w:bottom w:w="0" w:type="dxa"/>
          </w:tblCellMar>
        </w:tblPrEx>
        <w:tc>
          <w:tcPr>
            <w:tcW w:w="1800" w:type="dxa"/>
            <w:tcBorders>
              <w:top w:val="doub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sz w:val="24"/>
                <w:lang w:val="en-GB"/>
              </w:rPr>
              <w:fldChar w:fldCharType="begin"/>
            </w:r>
            <w:r>
              <w:rPr>
                <w:rFonts w:ascii="Times New Roman" w:hAnsi="Times New Roman"/>
                <w:sz w:val="24"/>
                <w:lang w:val="en-GB"/>
              </w:rPr>
              <w:instrText xml:space="preserve">PRIVATE </w:instrText>
            </w:r>
            <w:r>
              <w:rPr>
                <w:rFonts w:ascii="Times New Roman" w:hAnsi="Times New Roman"/>
                <w:lang w:val="en-GB"/>
              </w:rPr>
            </w:r>
            <w:r>
              <w:rPr>
                <w:rFonts w:ascii="Times New Roman" w:hAnsi="Times New Roman"/>
                <w:sz w:val="24"/>
                <w:lang w:val="en-GB"/>
              </w:rPr>
              <w:fldChar w:fldCharType="end"/>
            </w:r>
            <w:r>
              <w:rPr>
                <w:rFonts w:ascii="Times New Roman" w:hAnsi="Times New Roman"/>
                <w:b/>
                <w:sz w:val="24"/>
                <w:lang w:val="en-GB"/>
              </w:rPr>
              <w:t>YEAR</w:t>
            </w:r>
          </w:p>
        </w:tc>
        <w:tc>
          <w:tcPr>
            <w:tcW w:w="1800" w:type="dxa"/>
            <w:tcBorders>
              <w:top w:val="double" w:sz="6" w:space="0" w:color="auto"/>
              <w:left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HI CASH FLOW</w:t>
            </w:r>
          </w:p>
        </w:tc>
        <w:tc>
          <w:tcPr>
            <w:tcW w:w="1800" w:type="dxa"/>
            <w:tcBorders>
              <w:top w:val="double" w:sz="6" w:space="0" w:color="auto"/>
              <w:left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S&amp;P 500</w:t>
            </w:r>
          </w:p>
        </w:tc>
        <w:tc>
          <w:tcPr>
            <w:tcW w:w="1800" w:type="dxa"/>
            <w:tcBorders>
              <w:top w:val="double" w:sz="6" w:space="0" w:color="auto"/>
              <w:left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DJIA</w:t>
            </w:r>
          </w:p>
        </w:tc>
        <w:tc>
          <w:tcPr>
            <w:tcW w:w="1800" w:type="dxa"/>
            <w:tcBorders>
              <w:top w:val="double" w:sz="6" w:space="0" w:color="auto"/>
              <w:left w:val="single" w:sz="6" w:space="0" w:color="auto"/>
              <w:righ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NASDAQ INDUST.</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1985</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52.3%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27.7%</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26.6%</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1986</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12.7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14.6</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22.6</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5.8</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1987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2.0</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2.3</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-3.0</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1988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32.2</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12.4</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11.9</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11.8</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1989</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46.7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27.3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27.0</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18.2</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1990</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10.4</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-4.3</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-9.4</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1991</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87.0</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20.3</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64.8</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1992</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19.8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4.5</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4.2</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8.4</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20.3</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7.06</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13.64</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11.16</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1994</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1.41</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-1.54</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2.25</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-6.46</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1995</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29.98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34.11</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33.45</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27.97</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1996</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26.35</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20.26</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26.01</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15.03</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29.48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31.01</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22.64</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10.04</w:t>
            </w:r>
          </w:p>
        </w:tc>
      </w:tr>
      <w:tr w:rsidR="001E43F8" w:rsidTr="00AC2FE0">
        <w:tblPrEx>
          <w:tblCellMar>
            <w:top w:w="0" w:type="dxa"/>
            <w:bottom w:w="0" w:type="dxa"/>
          </w:tblCellMar>
        </w:tblPrEx>
        <w:tc>
          <w:tcPr>
            <w:tcW w:w="1800" w:type="dxa"/>
            <w:tcBorders>
              <w:top w:val="single" w:sz="6" w:space="0" w:color="auto"/>
              <w:left w:val="doub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1998</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25.74</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26.67</w:t>
            </w:r>
          </w:p>
        </w:tc>
        <w:tc>
          <w:tcPr>
            <w:tcW w:w="1800" w:type="dxa"/>
            <w:tcBorders>
              <w:top w:val="single" w:sz="6" w:space="0" w:color="auto"/>
              <w:left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16.10</w:t>
            </w:r>
          </w:p>
        </w:tc>
        <w:tc>
          <w:tcPr>
            <w:tcW w:w="1800" w:type="dxa"/>
            <w:tcBorders>
              <w:top w:val="single" w:sz="6" w:space="0" w:color="auto"/>
              <w:left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39.63</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sz w:val="24"/>
                <w:lang w:val="en-GB"/>
              </w:rPr>
            </w:pPr>
            <w:r>
              <w:rPr>
                <w:rFonts w:ascii="Times New Roman" w:hAnsi="Times New Roman"/>
                <w:b/>
                <w:sz w:val="24"/>
                <w:lang w:val="en-GB"/>
              </w:rPr>
              <w:t>1999</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25.32</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19.53</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25.22</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71.67</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2000</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8.69</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-10.14</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-6.18</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-33.76</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2001</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19.41</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-13.04</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-7.10</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-21.05</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2002</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-13.96</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-23.37</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-16.76</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-31.53</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2003</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58.10</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26.4</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25.3</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55.7</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2004</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19.00</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3.2</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9.0</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8.6</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2005</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10.65</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3.0</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-0.6</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1.4</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2006</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5.3</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11.8</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14.9</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11.1</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2007</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10.04</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3.5</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6.4</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9.6</w:t>
            </w:r>
          </w:p>
        </w:tc>
      </w:tr>
      <w:tr w:rsidR="001E43F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E43F8" w:rsidRDefault="001E43F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2008</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-32.8</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-33.8</w:t>
            </w:r>
          </w:p>
        </w:tc>
        <w:tc>
          <w:tcPr>
            <w:tcW w:w="1800" w:type="dxa"/>
            <w:tcBorders>
              <w:top w:val="single" w:sz="6" w:space="0" w:color="auto"/>
              <w:left w:val="single" w:sz="6" w:space="0" w:color="auto"/>
              <w:bottom w:val="sing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-38.5</w:t>
            </w:r>
          </w:p>
        </w:tc>
        <w:tc>
          <w:tcPr>
            <w:tcW w:w="1800" w:type="dxa"/>
            <w:tcBorders>
              <w:top w:val="single" w:sz="6" w:space="0" w:color="auto"/>
              <w:left w:val="single" w:sz="6" w:space="0" w:color="auto"/>
              <w:bottom w:val="single" w:sz="6" w:space="0" w:color="auto"/>
              <w:right w:val="double" w:sz="6" w:space="0" w:color="auto"/>
            </w:tcBorders>
          </w:tcPr>
          <w:p w:rsidR="001E43F8" w:rsidRDefault="001E43F8"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-45.3</w:t>
            </w:r>
          </w:p>
        </w:tc>
      </w:tr>
      <w:tr w:rsidR="002059B6"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2059B6" w:rsidRDefault="002059B6"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2009</w:t>
            </w:r>
          </w:p>
        </w:tc>
        <w:tc>
          <w:tcPr>
            <w:tcW w:w="1800" w:type="dxa"/>
            <w:tcBorders>
              <w:top w:val="single" w:sz="6" w:space="0" w:color="auto"/>
              <w:left w:val="single" w:sz="6" w:space="0" w:color="auto"/>
              <w:bottom w:val="single" w:sz="6" w:space="0" w:color="auto"/>
            </w:tcBorders>
          </w:tcPr>
          <w:p w:rsidR="002059B6" w:rsidRDefault="00737C87"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37.7</w:t>
            </w:r>
          </w:p>
        </w:tc>
        <w:tc>
          <w:tcPr>
            <w:tcW w:w="1800" w:type="dxa"/>
            <w:tcBorders>
              <w:top w:val="single" w:sz="6" w:space="0" w:color="auto"/>
              <w:left w:val="single" w:sz="6" w:space="0" w:color="auto"/>
              <w:bottom w:val="single" w:sz="6" w:space="0" w:color="auto"/>
            </w:tcBorders>
          </w:tcPr>
          <w:p w:rsidR="002059B6" w:rsidRDefault="00737C87"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18.8</w:t>
            </w:r>
          </w:p>
        </w:tc>
        <w:tc>
          <w:tcPr>
            <w:tcW w:w="1800" w:type="dxa"/>
            <w:tcBorders>
              <w:top w:val="single" w:sz="6" w:space="0" w:color="auto"/>
              <w:left w:val="single" w:sz="6" w:space="0" w:color="auto"/>
              <w:bottom w:val="single" w:sz="6" w:space="0" w:color="auto"/>
            </w:tcBorders>
          </w:tcPr>
          <w:p w:rsidR="002059B6" w:rsidRDefault="00737C87"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23.5</w:t>
            </w:r>
          </w:p>
        </w:tc>
        <w:tc>
          <w:tcPr>
            <w:tcW w:w="1800" w:type="dxa"/>
            <w:tcBorders>
              <w:top w:val="single" w:sz="6" w:space="0" w:color="auto"/>
              <w:left w:val="single" w:sz="6" w:space="0" w:color="auto"/>
              <w:bottom w:val="single" w:sz="6" w:space="0" w:color="auto"/>
              <w:right w:val="double" w:sz="6" w:space="0" w:color="auto"/>
            </w:tcBorders>
          </w:tcPr>
          <w:p w:rsidR="002059B6" w:rsidRDefault="00737C87"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43.9</w:t>
            </w:r>
          </w:p>
        </w:tc>
      </w:tr>
      <w:tr w:rsidR="00674401"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674401" w:rsidRDefault="00674401"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2010</w:t>
            </w:r>
          </w:p>
        </w:tc>
        <w:tc>
          <w:tcPr>
            <w:tcW w:w="1800" w:type="dxa"/>
            <w:tcBorders>
              <w:top w:val="single" w:sz="6" w:space="0" w:color="auto"/>
              <w:left w:val="single" w:sz="6" w:space="0" w:color="auto"/>
              <w:bottom w:val="single" w:sz="6" w:space="0" w:color="auto"/>
            </w:tcBorders>
          </w:tcPr>
          <w:p w:rsidR="00674401" w:rsidRDefault="0067440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25.7</w:t>
            </w:r>
          </w:p>
        </w:tc>
        <w:tc>
          <w:tcPr>
            <w:tcW w:w="1800" w:type="dxa"/>
            <w:tcBorders>
              <w:top w:val="single" w:sz="6" w:space="0" w:color="auto"/>
              <w:left w:val="single" w:sz="6" w:space="0" w:color="auto"/>
              <w:bottom w:val="single" w:sz="6" w:space="0" w:color="auto"/>
            </w:tcBorders>
          </w:tcPr>
          <w:p w:rsidR="00674401" w:rsidRDefault="0067440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12.8</w:t>
            </w:r>
          </w:p>
        </w:tc>
        <w:tc>
          <w:tcPr>
            <w:tcW w:w="1800" w:type="dxa"/>
            <w:tcBorders>
              <w:top w:val="single" w:sz="6" w:space="0" w:color="auto"/>
              <w:left w:val="single" w:sz="6" w:space="0" w:color="auto"/>
              <w:bottom w:val="single" w:sz="6" w:space="0" w:color="auto"/>
            </w:tcBorders>
          </w:tcPr>
          <w:p w:rsidR="00674401" w:rsidRDefault="0067440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11.0</w:t>
            </w:r>
          </w:p>
        </w:tc>
        <w:tc>
          <w:tcPr>
            <w:tcW w:w="1800" w:type="dxa"/>
            <w:tcBorders>
              <w:top w:val="single" w:sz="6" w:space="0" w:color="auto"/>
              <w:left w:val="single" w:sz="6" w:space="0" w:color="auto"/>
              <w:bottom w:val="single" w:sz="6" w:space="0" w:color="auto"/>
              <w:right w:val="double" w:sz="6" w:space="0" w:color="auto"/>
            </w:tcBorders>
          </w:tcPr>
          <w:p w:rsidR="00674401" w:rsidRDefault="0067440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25.0</w:t>
            </w:r>
          </w:p>
        </w:tc>
      </w:tr>
      <w:tr w:rsidR="00CE6A0F"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CE6A0F" w:rsidRDefault="00CE6A0F"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2011</w:t>
            </w:r>
          </w:p>
        </w:tc>
        <w:tc>
          <w:tcPr>
            <w:tcW w:w="1800" w:type="dxa"/>
            <w:tcBorders>
              <w:top w:val="single" w:sz="6" w:space="0" w:color="auto"/>
              <w:left w:val="single" w:sz="6" w:space="0" w:color="auto"/>
              <w:bottom w:val="single" w:sz="6" w:space="0" w:color="auto"/>
            </w:tcBorders>
          </w:tcPr>
          <w:p w:rsidR="00CE6A0F" w:rsidRDefault="005177D9"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-2.7</w:t>
            </w:r>
          </w:p>
        </w:tc>
        <w:tc>
          <w:tcPr>
            <w:tcW w:w="1800" w:type="dxa"/>
            <w:tcBorders>
              <w:top w:val="single" w:sz="6" w:space="0" w:color="auto"/>
              <w:left w:val="single" w:sz="6" w:space="0" w:color="auto"/>
              <w:bottom w:val="single" w:sz="6" w:space="0" w:color="auto"/>
            </w:tcBorders>
          </w:tcPr>
          <w:p w:rsidR="00CE6A0F" w:rsidRDefault="005177D9"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w:t>
            </w:r>
          </w:p>
        </w:tc>
        <w:tc>
          <w:tcPr>
            <w:tcW w:w="1800" w:type="dxa"/>
            <w:tcBorders>
              <w:top w:val="single" w:sz="6" w:space="0" w:color="auto"/>
              <w:left w:val="single" w:sz="6" w:space="0" w:color="auto"/>
              <w:bottom w:val="single" w:sz="6" w:space="0" w:color="auto"/>
            </w:tcBorders>
          </w:tcPr>
          <w:p w:rsidR="00CE6A0F" w:rsidRDefault="005177D9"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-5.5</w:t>
            </w:r>
          </w:p>
        </w:tc>
        <w:tc>
          <w:tcPr>
            <w:tcW w:w="1800" w:type="dxa"/>
            <w:tcBorders>
              <w:top w:val="single" w:sz="6" w:space="0" w:color="auto"/>
              <w:left w:val="single" w:sz="6" w:space="0" w:color="auto"/>
              <w:bottom w:val="single" w:sz="6" w:space="0" w:color="auto"/>
              <w:right w:val="double" w:sz="6" w:space="0" w:color="auto"/>
            </w:tcBorders>
          </w:tcPr>
          <w:p w:rsidR="00CE6A0F" w:rsidRDefault="005177D9"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-0.7</w:t>
            </w:r>
          </w:p>
        </w:tc>
      </w:tr>
      <w:tr w:rsidR="00292DB0"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292DB0" w:rsidRDefault="00292DB0"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2012</w:t>
            </w:r>
          </w:p>
        </w:tc>
        <w:tc>
          <w:tcPr>
            <w:tcW w:w="1800" w:type="dxa"/>
            <w:tcBorders>
              <w:top w:val="single" w:sz="6" w:space="0" w:color="auto"/>
              <w:left w:val="single" w:sz="6" w:space="0" w:color="auto"/>
              <w:bottom w:val="single" w:sz="6" w:space="0" w:color="auto"/>
            </w:tcBorders>
          </w:tcPr>
          <w:p w:rsidR="00292DB0" w:rsidRDefault="00292DB0"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8.3</w:t>
            </w:r>
          </w:p>
        </w:tc>
        <w:tc>
          <w:tcPr>
            <w:tcW w:w="1800" w:type="dxa"/>
            <w:tcBorders>
              <w:top w:val="single" w:sz="6" w:space="0" w:color="auto"/>
              <w:left w:val="single" w:sz="6" w:space="0" w:color="auto"/>
              <w:bottom w:val="single" w:sz="6" w:space="0" w:color="auto"/>
            </w:tcBorders>
          </w:tcPr>
          <w:p w:rsidR="00292DB0" w:rsidRDefault="00A4097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13.4</w:t>
            </w:r>
          </w:p>
        </w:tc>
        <w:tc>
          <w:tcPr>
            <w:tcW w:w="1800" w:type="dxa"/>
            <w:tcBorders>
              <w:top w:val="single" w:sz="6" w:space="0" w:color="auto"/>
              <w:left w:val="single" w:sz="6" w:space="0" w:color="auto"/>
              <w:bottom w:val="single" w:sz="6" w:space="0" w:color="auto"/>
            </w:tcBorders>
          </w:tcPr>
          <w:p w:rsidR="00292DB0" w:rsidRDefault="00A40971"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7.3</w:t>
            </w:r>
          </w:p>
        </w:tc>
        <w:tc>
          <w:tcPr>
            <w:tcW w:w="1800" w:type="dxa"/>
            <w:tcBorders>
              <w:top w:val="single" w:sz="6" w:space="0" w:color="auto"/>
              <w:left w:val="single" w:sz="6" w:space="0" w:color="auto"/>
              <w:bottom w:val="single" w:sz="6" w:space="0" w:color="auto"/>
              <w:right w:val="double" w:sz="6" w:space="0" w:color="auto"/>
            </w:tcBorders>
          </w:tcPr>
          <w:p w:rsidR="00292DB0" w:rsidRDefault="00A40971"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15.9</w:t>
            </w:r>
          </w:p>
        </w:tc>
      </w:tr>
      <w:tr w:rsidR="001128F0"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1128F0" w:rsidRDefault="001128F0"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2013</w:t>
            </w:r>
          </w:p>
        </w:tc>
        <w:tc>
          <w:tcPr>
            <w:tcW w:w="1800" w:type="dxa"/>
            <w:tcBorders>
              <w:top w:val="single" w:sz="6" w:space="0" w:color="auto"/>
              <w:left w:val="single" w:sz="6" w:space="0" w:color="auto"/>
              <w:bottom w:val="single" w:sz="6" w:space="0" w:color="auto"/>
            </w:tcBorders>
          </w:tcPr>
          <w:p w:rsidR="001128F0" w:rsidRDefault="000E568A" w:rsidP="001E43F8">
            <w:pPr>
              <w:tabs>
                <w:tab w:val="left" w:pos="0"/>
              </w:tabs>
              <w:suppressAutoHyphens/>
              <w:spacing w:before="90" w:after="54"/>
              <w:jc w:val="center"/>
              <w:rPr>
                <w:rFonts w:ascii="Times New Roman" w:hAnsi="Times New Roman"/>
                <w:sz w:val="24"/>
                <w:lang w:val="en-GB"/>
              </w:rPr>
            </w:pPr>
            <w:r w:rsidRPr="00617977">
              <w:rPr>
                <w:rFonts w:ascii="Times New Roman" w:hAnsi="Times New Roman"/>
                <w:sz w:val="24"/>
                <w:lang w:val="en-GB"/>
              </w:rPr>
              <w:t>41.6</w:t>
            </w:r>
          </w:p>
        </w:tc>
        <w:tc>
          <w:tcPr>
            <w:tcW w:w="1800" w:type="dxa"/>
            <w:tcBorders>
              <w:top w:val="single" w:sz="6" w:space="0" w:color="auto"/>
              <w:left w:val="single" w:sz="6" w:space="0" w:color="auto"/>
              <w:bottom w:val="single" w:sz="6" w:space="0" w:color="auto"/>
            </w:tcBorders>
          </w:tcPr>
          <w:p w:rsidR="001128F0" w:rsidRDefault="0012379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29.6</w:t>
            </w:r>
          </w:p>
        </w:tc>
        <w:tc>
          <w:tcPr>
            <w:tcW w:w="1800" w:type="dxa"/>
            <w:tcBorders>
              <w:top w:val="single" w:sz="6" w:space="0" w:color="auto"/>
              <w:left w:val="single" w:sz="6" w:space="0" w:color="auto"/>
              <w:bottom w:val="single" w:sz="6" w:space="0" w:color="auto"/>
            </w:tcBorders>
          </w:tcPr>
          <w:p w:rsidR="001128F0" w:rsidRDefault="0012379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26.5</w:t>
            </w:r>
          </w:p>
        </w:tc>
        <w:tc>
          <w:tcPr>
            <w:tcW w:w="1800" w:type="dxa"/>
            <w:tcBorders>
              <w:top w:val="single" w:sz="6" w:space="0" w:color="auto"/>
              <w:left w:val="single" w:sz="6" w:space="0" w:color="auto"/>
              <w:bottom w:val="single" w:sz="6" w:space="0" w:color="auto"/>
              <w:right w:val="double" w:sz="6" w:space="0" w:color="auto"/>
            </w:tcBorders>
          </w:tcPr>
          <w:p w:rsidR="001128F0" w:rsidRDefault="00123793"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43.1</w:t>
            </w:r>
          </w:p>
        </w:tc>
      </w:tr>
      <w:tr w:rsidR="00617977"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617977" w:rsidRDefault="00617977"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2014</w:t>
            </w:r>
          </w:p>
        </w:tc>
        <w:tc>
          <w:tcPr>
            <w:tcW w:w="1800" w:type="dxa"/>
            <w:tcBorders>
              <w:top w:val="single" w:sz="6" w:space="0" w:color="auto"/>
              <w:left w:val="single" w:sz="6" w:space="0" w:color="auto"/>
              <w:bottom w:val="single" w:sz="6" w:space="0" w:color="auto"/>
            </w:tcBorders>
          </w:tcPr>
          <w:p w:rsidR="00617977" w:rsidRPr="00C101DF" w:rsidRDefault="003F23E8" w:rsidP="001E43F8">
            <w:pPr>
              <w:tabs>
                <w:tab w:val="left" w:pos="0"/>
              </w:tabs>
              <w:suppressAutoHyphens/>
              <w:spacing w:before="90" w:after="54"/>
              <w:jc w:val="center"/>
              <w:rPr>
                <w:rFonts w:ascii="Times New Roman" w:hAnsi="Times New Roman"/>
                <w:sz w:val="24"/>
                <w:highlight w:val="yellow"/>
                <w:lang w:val="en-GB"/>
              </w:rPr>
            </w:pPr>
            <w:r w:rsidRPr="003F23E8">
              <w:rPr>
                <w:rFonts w:ascii="Times New Roman" w:hAnsi="Times New Roman"/>
                <w:sz w:val="24"/>
                <w:lang w:val="en-GB"/>
              </w:rPr>
              <w:t>13.1</w:t>
            </w:r>
          </w:p>
        </w:tc>
        <w:tc>
          <w:tcPr>
            <w:tcW w:w="1800" w:type="dxa"/>
            <w:tcBorders>
              <w:top w:val="single" w:sz="6" w:space="0" w:color="auto"/>
              <w:left w:val="single" w:sz="6" w:space="0" w:color="auto"/>
              <w:bottom w:val="single" w:sz="6" w:space="0" w:color="auto"/>
            </w:tcBorders>
          </w:tcPr>
          <w:p w:rsidR="00617977" w:rsidRDefault="00DA69C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11.4</w:t>
            </w:r>
          </w:p>
        </w:tc>
        <w:tc>
          <w:tcPr>
            <w:tcW w:w="1800" w:type="dxa"/>
            <w:tcBorders>
              <w:top w:val="single" w:sz="6" w:space="0" w:color="auto"/>
              <w:left w:val="single" w:sz="6" w:space="0" w:color="auto"/>
              <w:bottom w:val="single" w:sz="6" w:space="0" w:color="auto"/>
            </w:tcBorders>
          </w:tcPr>
          <w:p w:rsidR="00617977" w:rsidRDefault="00DA69C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6.9</w:t>
            </w:r>
          </w:p>
        </w:tc>
        <w:tc>
          <w:tcPr>
            <w:tcW w:w="1800" w:type="dxa"/>
            <w:tcBorders>
              <w:top w:val="single" w:sz="6" w:space="0" w:color="auto"/>
              <w:left w:val="single" w:sz="6" w:space="0" w:color="auto"/>
              <w:bottom w:val="single" w:sz="6" w:space="0" w:color="auto"/>
              <w:right w:val="double" w:sz="6" w:space="0" w:color="auto"/>
            </w:tcBorders>
          </w:tcPr>
          <w:p w:rsidR="00617977" w:rsidRDefault="00DA69C3"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13.3</w:t>
            </w:r>
          </w:p>
        </w:tc>
      </w:tr>
      <w:tr w:rsidR="009346A8"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9346A8" w:rsidRDefault="009346A8"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2015</w:t>
            </w:r>
          </w:p>
        </w:tc>
        <w:tc>
          <w:tcPr>
            <w:tcW w:w="1800" w:type="dxa"/>
            <w:tcBorders>
              <w:top w:val="single" w:sz="6" w:space="0" w:color="auto"/>
              <w:left w:val="single" w:sz="6" w:space="0" w:color="auto"/>
              <w:bottom w:val="single" w:sz="6" w:space="0" w:color="auto"/>
            </w:tcBorders>
          </w:tcPr>
          <w:p w:rsidR="009346A8" w:rsidRPr="003F23E8" w:rsidRDefault="00000A9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0.7</w:t>
            </w:r>
          </w:p>
        </w:tc>
        <w:tc>
          <w:tcPr>
            <w:tcW w:w="1800" w:type="dxa"/>
            <w:tcBorders>
              <w:top w:val="single" w:sz="6" w:space="0" w:color="auto"/>
              <w:left w:val="single" w:sz="6" w:space="0" w:color="auto"/>
              <w:bottom w:val="single" w:sz="6" w:space="0" w:color="auto"/>
            </w:tcBorders>
          </w:tcPr>
          <w:p w:rsidR="009346A8" w:rsidRDefault="00000A9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-0.7</w:t>
            </w:r>
          </w:p>
        </w:tc>
        <w:tc>
          <w:tcPr>
            <w:tcW w:w="1800" w:type="dxa"/>
            <w:tcBorders>
              <w:top w:val="single" w:sz="6" w:space="0" w:color="auto"/>
              <w:left w:val="single" w:sz="6" w:space="0" w:color="auto"/>
              <w:bottom w:val="single" w:sz="6" w:space="0" w:color="auto"/>
            </w:tcBorders>
          </w:tcPr>
          <w:p w:rsidR="009346A8" w:rsidRDefault="00000A93"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-2.2</w:t>
            </w:r>
          </w:p>
        </w:tc>
        <w:tc>
          <w:tcPr>
            <w:tcW w:w="1800" w:type="dxa"/>
            <w:tcBorders>
              <w:top w:val="single" w:sz="6" w:space="0" w:color="auto"/>
              <w:left w:val="single" w:sz="6" w:space="0" w:color="auto"/>
              <w:bottom w:val="single" w:sz="6" w:space="0" w:color="auto"/>
              <w:right w:val="double" w:sz="6" w:space="0" w:color="auto"/>
            </w:tcBorders>
          </w:tcPr>
          <w:p w:rsidR="009346A8" w:rsidRDefault="00000A93"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5.8</w:t>
            </w:r>
          </w:p>
        </w:tc>
      </w:tr>
      <w:tr w:rsidR="00800943"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800943" w:rsidRDefault="00800943"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w:t>
            </w:r>
            <w:r w:rsidR="00BC521D">
              <w:rPr>
                <w:rFonts w:ascii="Times New Roman" w:hAnsi="Times New Roman"/>
                <w:b/>
                <w:sz w:val="24"/>
                <w:lang w:val="en-GB"/>
              </w:rPr>
              <w:t>6</w:t>
            </w:r>
          </w:p>
        </w:tc>
        <w:tc>
          <w:tcPr>
            <w:tcW w:w="1800" w:type="dxa"/>
            <w:tcBorders>
              <w:top w:val="single" w:sz="6" w:space="0" w:color="auto"/>
              <w:left w:val="single" w:sz="6" w:space="0" w:color="auto"/>
              <w:bottom w:val="single" w:sz="6" w:space="0" w:color="auto"/>
            </w:tcBorders>
          </w:tcPr>
          <w:p w:rsidR="00800943" w:rsidRDefault="00082FFB"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24.5</w:t>
            </w:r>
          </w:p>
        </w:tc>
        <w:tc>
          <w:tcPr>
            <w:tcW w:w="1800" w:type="dxa"/>
            <w:tcBorders>
              <w:top w:val="single" w:sz="6" w:space="0" w:color="auto"/>
              <w:left w:val="single" w:sz="6" w:space="0" w:color="auto"/>
              <w:bottom w:val="single" w:sz="6" w:space="0" w:color="auto"/>
            </w:tcBorders>
          </w:tcPr>
          <w:p w:rsidR="00800943" w:rsidRDefault="00362020"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9.5</w:t>
            </w:r>
          </w:p>
        </w:tc>
        <w:tc>
          <w:tcPr>
            <w:tcW w:w="1800" w:type="dxa"/>
            <w:tcBorders>
              <w:top w:val="single" w:sz="6" w:space="0" w:color="auto"/>
              <w:left w:val="single" w:sz="6" w:space="0" w:color="auto"/>
              <w:bottom w:val="single" w:sz="6" w:space="0" w:color="auto"/>
            </w:tcBorders>
          </w:tcPr>
          <w:p w:rsidR="00800943" w:rsidRDefault="00141F0D"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13.4</w:t>
            </w:r>
          </w:p>
        </w:tc>
        <w:tc>
          <w:tcPr>
            <w:tcW w:w="1800" w:type="dxa"/>
            <w:tcBorders>
              <w:top w:val="single" w:sz="6" w:space="0" w:color="auto"/>
              <w:left w:val="single" w:sz="6" w:space="0" w:color="auto"/>
              <w:bottom w:val="single" w:sz="6" w:space="0" w:color="auto"/>
              <w:right w:val="double" w:sz="6" w:space="0" w:color="auto"/>
            </w:tcBorders>
          </w:tcPr>
          <w:p w:rsidR="00800943" w:rsidRDefault="00141F0D"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7.5</w:t>
            </w:r>
          </w:p>
        </w:tc>
      </w:tr>
      <w:tr w:rsidR="00554276"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554276" w:rsidRDefault="00554276"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w:t>
            </w:r>
            <w:r w:rsidR="00E05754">
              <w:rPr>
                <w:rFonts w:ascii="Times New Roman" w:hAnsi="Times New Roman"/>
                <w:b/>
                <w:sz w:val="24"/>
                <w:lang w:val="en-GB"/>
              </w:rPr>
              <w:t>7</w:t>
            </w:r>
          </w:p>
        </w:tc>
        <w:tc>
          <w:tcPr>
            <w:tcW w:w="1800" w:type="dxa"/>
            <w:tcBorders>
              <w:top w:val="single" w:sz="6" w:space="0" w:color="auto"/>
              <w:left w:val="single" w:sz="6" w:space="0" w:color="auto"/>
              <w:bottom w:val="single" w:sz="6" w:space="0" w:color="auto"/>
            </w:tcBorders>
          </w:tcPr>
          <w:p w:rsidR="00554276" w:rsidRDefault="00690E4C"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21</w:t>
            </w:r>
            <w:r w:rsidR="00554276">
              <w:rPr>
                <w:rFonts w:ascii="Times New Roman" w:hAnsi="Times New Roman"/>
                <w:sz w:val="24"/>
                <w:lang w:val="en-GB"/>
              </w:rPr>
              <w:t>.7</w:t>
            </w:r>
          </w:p>
        </w:tc>
        <w:tc>
          <w:tcPr>
            <w:tcW w:w="1800" w:type="dxa"/>
            <w:tcBorders>
              <w:top w:val="single" w:sz="6" w:space="0" w:color="auto"/>
              <w:left w:val="single" w:sz="6" w:space="0" w:color="auto"/>
              <w:bottom w:val="single" w:sz="6" w:space="0" w:color="auto"/>
            </w:tcBorders>
          </w:tcPr>
          <w:p w:rsidR="00554276" w:rsidRDefault="00554276"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2.9</w:t>
            </w:r>
          </w:p>
        </w:tc>
        <w:tc>
          <w:tcPr>
            <w:tcW w:w="1800" w:type="dxa"/>
            <w:tcBorders>
              <w:top w:val="single" w:sz="6" w:space="0" w:color="auto"/>
              <w:left w:val="single" w:sz="6" w:space="0" w:color="auto"/>
              <w:bottom w:val="single" w:sz="6" w:space="0" w:color="auto"/>
            </w:tcBorders>
          </w:tcPr>
          <w:p w:rsidR="00554276" w:rsidRDefault="00554276"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0.7</w:t>
            </w:r>
          </w:p>
        </w:tc>
        <w:tc>
          <w:tcPr>
            <w:tcW w:w="1800" w:type="dxa"/>
            <w:tcBorders>
              <w:top w:val="single" w:sz="6" w:space="0" w:color="auto"/>
              <w:left w:val="single" w:sz="6" w:space="0" w:color="auto"/>
              <w:bottom w:val="single" w:sz="6" w:space="0" w:color="auto"/>
              <w:right w:val="double" w:sz="6" w:space="0" w:color="auto"/>
            </w:tcBorders>
          </w:tcPr>
          <w:p w:rsidR="00554276" w:rsidRDefault="00554276"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6.3</w:t>
            </w:r>
          </w:p>
        </w:tc>
      </w:tr>
      <w:tr w:rsidR="002448E6" w:rsidTr="00AC2FE0">
        <w:tblPrEx>
          <w:tblCellMar>
            <w:top w:w="0" w:type="dxa"/>
            <w:bottom w:w="0" w:type="dxa"/>
          </w:tblCellMar>
        </w:tblPrEx>
        <w:tc>
          <w:tcPr>
            <w:tcW w:w="1800" w:type="dxa"/>
            <w:tcBorders>
              <w:top w:val="single" w:sz="6" w:space="0" w:color="auto"/>
              <w:left w:val="double" w:sz="6" w:space="0" w:color="auto"/>
              <w:bottom w:val="single" w:sz="6" w:space="0" w:color="auto"/>
            </w:tcBorders>
          </w:tcPr>
          <w:p w:rsidR="002448E6" w:rsidRDefault="002448E6"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2018</w:t>
            </w:r>
          </w:p>
        </w:tc>
        <w:tc>
          <w:tcPr>
            <w:tcW w:w="1800" w:type="dxa"/>
            <w:tcBorders>
              <w:top w:val="single" w:sz="6" w:space="0" w:color="auto"/>
              <w:left w:val="single" w:sz="6" w:space="0" w:color="auto"/>
              <w:bottom w:val="sing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-5.5</w:t>
            </w:r>
          </w:p>
        </w:tc>
        <w:tc>
          <w:tcPr>
            <w:tcW w:w="1800" w:type="dxa"/>
            <w:tcBorders>
              <w:top w:val="single" w:sz="6" w:space="0" w:color="auto"/>
              <w:left w:val="single" w:sz="6" w:space="0" w:color="auto"/>
              <w:bottom w:val="sing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-6.2</w:t>
            </w:r>
          </w:p>
        </w:tc>
        <w:tc>
          <w:tcPr>
            <w:tcW w:w="1800" w:type="dxa"/>
            <w:tcBorders>
              <w:top w:val="single" w:sz="6" w:space="0" w:color="auto"/>
              <w:left w:val="single" w:sz="6" w:space="0" w:color="auto"/>
              <w:bottom w:val="sing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-5.6</w:t>
            </w:r>
          </w:p>
        </w:tc>
        <w:tc>
          <w:tcPr>
            <w:tcW w:w="1800" w:type="dxa"/>
            <w:tcBorders>
              <w:top w:val="single" w:sz="6" w:space="0" w:color="auto"/>
              <w:left w:val="single" w:sz="6" w:space="0" w:color="auto"/>
              <w:bottom w:val="single" w:sz="6" w:space="0" w:color="auto"/>
              <w:right w:val="double" w:sz="6" w:space="0" w:color="auto"/>
            </w:tcBorders>
          </w:tcPr>
          <w:p w:rsidR="002448E6" w:rsidRDefault="004E30DA"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-3.9</w:t>
            </w:r>
          </w:p>
        </w:tc>
      </w:tr>
      <w:tr w:rsidR="002448E6" w:rsidTr="00AC2FE0">
        <w:tblPrEx>
          <w:tblCellMar>
            <w:top w:w="0" w:type="dxa"/>
            <w:bottom w:w="0" w:type="dxa"/>
          </w:tblCellMar>
        </w:tblPrEx>
        <w:tc>
          <w:tcPr>
            <w:tcW w:w="1800" w:type="dxa"/>
            <w:tcBorders>
              <w:top w:val="single" w:sz="6" w:space="0" w:color="auto"/>
              <w:left w:val="double" w:sz="6" w:space="0" w:color="auto"/>
              <w:bottom w:val="double" w:sz="6" w:space="0" w:color="auto"/>
            </w:tcBorders>
          </w:tcPr>
          <w:p w:rsidR="002448E6" w:rsidRDefault="002448E6" w:rsidP="001E43F8">
            <w:pPr>
              <w:tabs>
                <w:tab w:val="left" w:pos="0"/>
              </w:tabs>
              <w:suppressAutoHyphens/>
              <w:spacing w:before="90" w:after="54"/>
              <w:rPr>
                <w:rFonts w:ascii="Times New Roman" w:hAnsi="Times New Roman"/>
                <w:b/>
                <w:sz w:val="24"/>
                <w:lang w:val="en-GB"/>
              </w:rPr>
            </w:pPr>
            <w:r>
              <w:rPr>
                <w:rFonts w:ascii="Times New Roman" w:hAnsi="Times New Roman"/>
                <w:b/>
                <w:sz w:val="24"/>
                <w:lang w:val="en-GB"/>
              </w:rPr>
              <w:t>2019</w:t>
            </w:r>
          </w:p>
        </w:tc>
        <w:tc>
          <w:tcPr>
            <w:tcW w:w="1800" w:type="dxa"/>
            <w:tcBorders>
              <w:top w:val="single" w:sz="6" w:space="0" w:color="auto"/>
              <w:left w:val="single" w:sz="6" w:space="0" w:color="auto"/>
              <w:bottom w:val="doub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32.8</w:t>
            </w:r>
          </w:p>
        </w:tc>
        <w:tc>
          <w:tcPr>
            <w:tcW w:w="1800" w:type="dxa"/>
            <w:tcBorders>
              <w:top w:val="single" w:sz="6" w:space="0" w:color="auto"/>
              <w:left w:val="single" w:sz="6" w:space="0" w:color="auto"/>
              <w:bottom w:val="doub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30.0</w:t>
            </w:r>
          </w:p>
        </w:tc>
        <w:tc>
          <w:tcPr>
            <w:tcW w:w="1800" w:type="dxa"/>
            <w:tcBorders>
              <w:top w:val="single" w:sz="6" w:space="0" w:color="auto"/>
              <w:left w:val="single" w:sz="6" w:space="0" w:color="auto"/>
              <w:bottom w:val="double" w:sz="6" w:space="0" w:color="auto"/>
            </w:tcBorders>
          </w:tcPr>
          <w:p w:rsidR="002448E6" w:rsidRDefault="004E30DA" w:rsidP="001E43F8">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23.7</w:t>
            </w:r>
          </w:p>
        </w:tc>
        <w:tc>
          <w:tcPr>
            <w:tcW w:w="1800" w:type="dxa"/>
            <w:tcBorders>
              <w:top w:val="single" w:sz="6" w:space="0" w:color="auto"/>
              <w:left w:val="single" w:sz="6" w:space="0" w:color="auto"/>
              <w:bottom w:val="double" w:sz="6" w:space="0" w:color="auto"/>
              <w:right w:val="double" w:sz="6" w:space="0" w:color="auto"/>
            </w:tcBorders>
          </w:tcPr>
          <w:p w:rsidR="002448E6" w:rsidRDefault="004E30DA" w:rsidP="005177D9">
            <w:pPr>
              <w:tabs>
                <w:tab w:val="left" w:pos="0"/>
              </w:tabs>
              <w:suppressAutoHyphens/>
              <w:spacing w:before="90" w:after="54"/>
              <w:jc w:val="center"/>
              <w:rPr>
                <w:rFonts w:ascii="Times New Roman" w:hAnsi="Times New Roman"/>
                <w:sz w:val="24"/>
                <w:lang w:val="en-GB"/>
              </w:rPr>
            </w:pPr>
            <w:r>
              <w:rPr>
                <w:rFonts w:ascii="Times New Roman" w:hAnsi="Times New Roman"/>
                <w:sz w:val="24"/>
                <w:lang w:val="en-GB"/>
              </w:rPr>
              <w:t>36.3</w:t>
            </w:r>
          </w:p>
        </w:tc>
      </w:tr>
    </w:tbl>
    <w:p w:rsidR="001E43F8" w:rsidRDefault="001E43F8" w:rsidP="001E43F8">
      <w:pPr>
        <w:tabs>
          <w:tab w:val="left" w:pos="0"/>
        </w:tabs>
        <w:suppressAutoHyphens/>
        <w:spacing w:after="216"/>
        <w:rPr>
          <w:rFonts w:ascii="Times New Roman" w:hAnsi="Times New Roman"/>
          <w:sz w:val="24"/>
          <w:lang w:val="en-GB"/>
        </w:rPr>
      </w:pPr>
    </w:p>
    <w:p w:rsidR="001E43F8" w:rsidRDefault="001E43F8" w:rsidP="001E43F8">
      <w:pPr>
        <w:tabs>
          <w:tab w:val="left" w:pos="0"/>
        </w:tabs>
        <w:suppressAutoHyphens/>
        <w:rPr>
          <w:rFonts w:ascii="Times New Roman" w:hAnsi="Times New Roman"/>
          <w:sz w:val="24"/>
          <w:u w:val="single"/>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u w:val="single"/>
          <w:lang w:val="en-GB"/>
        </w:rPr>
        <w:t>Comparison of Buy and Hold Strategies:</w:t>
      </w:r>
      <w:r>
        <w:rPr>
          <w:rFonts w:ascii="Times New Roman" w:hAnsi="Times New Roman"/>
          <w:sz w:val="24"/>
          <w:lang w:val="en-GB"/>
        </w:rPr>
        <w:t xml:space="preserve">          </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$1,000,000 invested in each average in January 1985 would have grown to these amounts at </w:t>
      </w:r>
      <w:r w:rsidR="005F3CAA">
        <w:rPr>
          <w:rFonts w:ascii="Times New Roman" w:hAnsi="Times New Roman"/>
          <w:sz w:val="24"/>
          <w:lang w:val="en-GB"/>
        </w:rPr>
        <w:t xml:space="preserve">the </w:t>
      </w:r>
      <w:r w:rsidR="004E30DA">
        <w:rPr>
          <w:rFonts w:ascii="Times New Roman" w:hAnsi="Times New Roman"/>
          <w:sz w:val="24"/>
          <w:lang w:val="en-GB"/>
        </w:rPr>
        <w:t>December</w:t>
      </w:r>
      <w:r w:rsidR="00CF3877">
        <w:rPr>
          <w:rFonts w:ascii="Times New Roman" w:hAnsi="Times New Roman"/>
          <w:sz w:val="24"/>
          <w:lang w:val="en-GB"/>
        </w:rPr>
        <w:t xml:space="preserve"> 3</w:t>
      </w:r>
      <w:r w:rsidR="004E30DA">
        <w:rPr>
          <w:rFonts w:ascii="Times New Roman" w:hAnsi="Times New Roman"/>
          <w:sz w:val="24"/>
          <w:lang w:val="en-GB"/>
        </w:rPr>
        <w:t>1</w:t>
      </w:r>
      <w:r w:rsidR="005F3CAA">
        <w:rPr>
          <w:rFonts w:ascii="Times New Roman" w:hAnsi="Times New Roman"/>
          <w:sz w:val="24"/>
          <w:lang w:val="en-GB"/>
        </w:rPr>
        <w:t>, 201</w:t>
      </w:r>
      <w:r w:rsidR="004E30DA">
        <w:rPr>
          <w:rFonts w:ascii="Times New Roman" w:hAnsi="Times New Roman"/>
          <w:sz w:val="24"/>
          <w:lang w:val="en-GB"/>
        </w:rPr>
        <w:t>9</w:t>
      </w:r>
      <w:r>
        <w:rPr>
          <w:rFonts w:ascii="Times New Roman" w:hAnsi="Times New Roman"/>
          <w:sz w:val="24"/>
          <w:lang w:val="en-GB"/>
        </w:rPr>
        <w:t xml:space="preserve"> close:</w:t>
      </w:r>
    </w:p>
    <w:p w:rsidR="001E43F8" w:rsidRDefault="001E43F8" w:rsidP="001E43F8">
      <w:pPr>
        <w:tabs>
          <w:tab w:val="left" w:pos="0"/>
        </w:tabs>
        <w:suppressAutoHyphens/>
        <w:rPr>
          <w:rFonts w:ascii="Times New Roman" w:hAnsi="Times New Roman"/>
          <w:sz w:val="24"/>
          <w:lang w:val="en-GB"/>
        </w:rPr>
      </w:pPr>
    </w:p>
    <w:p w:rsidR="001E43F8" w:rsidRDefault="00737C87" w:rsidP="001E43F8">
      <w:pPr>
        <w:tabs>
          <w:tab w:val="left" w:pos="0"/>
        </w:tabs>
        <w:suppressAutoHyphens/>
        <w:rPr>
          <w:rFonts w:ascii="Times New Roman" w:hAnsi="Times New Roman"/>
          <w:sz w:val="24"/>
          <w:lang w:val="en-GB"/>
        </w:rPr>
      </w:pPr>
      <w:r>
        <w:rPr>
          <w:rFonts w:ascii="Times New Roman" w:hAnsi="Times New Roman"/>
          <w:sz w:val="24"/>
          <w:lang w:val="en-GB"/>
        </w:rPr>
        <w:t xml:space="preserve">Hi Cash Flow=    </w:t>
      </w:r>
      <w:r w:rsidR="00DD73F6">
        <w:rPr>
          <w:rFonts w:ascii="Times New Roman" w:hAnsi="Times New Roman"/>
          <w:sz w:val="24"/>
          <w:lang w:val="en-GB"/>
        </w:rPr>
        <w:t xml:space="preserve"> </w:t>
      </w:r>
      <w:r w:rsidRPr="00617977">
        <w:rPr>
          <w:rFonts w:ascii="Times New Roman" w:hAnsi="Times New Roman"/>
          <w:sz w:val="24"/>
          <w:lang w:val="en-GB"/>
        </w:rPr>
        <w:t>$</w:t>
      </w:r>
      <w:r w:rsidR="00DD73F6">
        <w:rPr>
          <w:rFonts w:ascii="Times New Roman" w:hAnsi="Times New Roman"/>
          <w:sz w:val="24"/>
          <w:lang w:val="en-GB"/>
        </w:rPr>
        <w:t>327,196</w:t>
      </w:r>
      <w:r w:rsidR="001D0081">
        <w:rPr>
          <w:rFonts w:ascii="Times New Roman" w:hAnsi="Times New Roman"/>
          <w:sz w:val="24"/>
          <w:lang w:val="en-GB"/>
        </w:rPr>
        <w:t>,</w:t>
      </w:r>
      <w:r w:rsidR="001D0081" w:rsidRPr="00617977">
        <w:rPr>
          <w:rFonts w:ascii="Times New Roman" w:hAnsi="Times New Roman"/>
          <w:sz w:val="24"/>
          <w:lang w:val="en-GB"/>
        </w:rPr>
        <w:t>000</w:t>
      </w:r>
    </w:p>
    <w:p w:rsidR="001E43F8" w:rsidRDefault="00737C87" w:rsidP="001E43F8">
      <w:pPr>
        <w:tabs>
          <w:tab w:val="left" w:pos="0"/>
        </w:tabs>
        <w:suppressAutoHyphens/>
        <w:rPr>
          <w:rFonts w:ascii="Times New Roman" w:hAnsi="Times New Roman"/>
          <w:sz w:val="24"/>
          <w:lang w:val="en-GB"/>
        </w:rPr>
      </w:pPr>
      <w:r>
        <w:rPr>
          <w:rFonts w:ascii="Times New Roman" w:hAnsi="Times New Roman"/>
          <w:sz w:val="24"/>
          <w:lang w:val="en-GB"/>
        </w:rPr>
        <w:t xml:space="preserve">S&amp;P 500=         </w:t>
      </w:r>
      <w:r w:rsidR="000E02BE">
        <w:rPr>
          <w:rFonts w:ascii="Times New Roman" w:hAnsi="Times New Roman"/>
          <w:sz w:val="24"/>
          <w:lang w:val="en-GB"/>
        </w:rPr>
        <w:t xml:space="preserve"> </w:t>
      </w:r>
      <w:r w:rsidR="00123793">
        <w:rPr>
          <w:rFonts w:ascii="Times New Roman" w:hAnsi="Times New Roman"/>
          <w:sz w:val="24"/>
          <w:lang w:val="en-GB"/>
        </w:rPr>
        <w:t xml:space="preserve">     </w:t>
      </w:r>
      <w:r w:rsidR="00641782">
        <w:rPr>
          <w:rFonts w:ascii="Times New Roman" w:hAnsi="Times New Roman"/>
          <w:sz w:val="24"/>
          <w:lang w:val="en-GB"/>
        </w:rPr>
        <w:t xml:space="preserve"> </w:t>
      </w:r>
      <w:r w:rsidR="00DD73F6">
        <w:rPr>
          <w:rFonts w:ascii="Times New Roman" w:hAnsi="Times New Roman"/>
          <w:sz w:val="24"/>
          <w:lang w:val="en-GB"/>
        </w:rPr>
        <w:t>16,797</w:t>
      </w:r>
      <w:r w:rsidR="001E43F8">
        <w:rPr>
          <w:rFonts w:ascii="Times New Roman" w:hAnsi="Times New Roman"/>
          <w:sz w:val="24"/>
          <w:lang w:val="en-GB"/>
        </w:rPr>
        <w:t xml:space="preserve">,000 </w:t>
      </w: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Dow </w:t>
      </w:r>
      <w:smartTag w:uri="urn:schemas-microsoft-com:office:smarttags" w:element="place">
        <w:smartTag w:uri="urn:schemas-microsoft-com:office:smarttags" w:element="City">
          <w:r>
            <w:rPr>
              <w:rFonts w:ascii="Times New Roman" w:hAnsi="Times New Roman"/>
              <w:sz w:val="24"/>
              <w:lang w:val="en-GB"/>
            </w:rPr>
            <w:t>Jones</w:t>
          </w:r>
        </w:smartTag>
        <w:r>
          <w:rPr>
            <w:rFonts w:ascii="Times New Roman" w:hAnsi="Times New Roman"/>
            <w:sz w:val="24"/>
            <w:lang w:val="en-GB"/>
          </w:rPr>
          <w:t xml:space="preserve"> </w:t>
        </w:r>
        <w:smartTag w:uri="urn:schemas-microsoft-com:office:smarttags" w:element="State">
          <w:r>
            <w:rPr>
              <w:rFonts w:ascii="Times New Roman" w:hAnsi="Times New Roman"/>
              <w:sz w:val="24"/>
              <w:lang w:val="en-GB"/>
            </w:rPr>
            <w:t>Ind.</w:t>
          </w:r>
        </w:smartTag>
      </w:smartTag>
      <w:r w:rsidR="00737C87">
        <w:rPr>
          <w:rFonts w:ascii="Times New Roman" w:hAnsi="Times New Roman"/>
          <w:sz w:val="24"/>
          <w:lang w:val="en-GB"/>
        </w:rPr>
        <w:t xml:space="preserve"> =   </w:t>
      </w:r>
      <w:r w:rsidR="00123793">
        <w:rPr>
          <w:rFonts w:ascii="Times New Roman" w:hAnsi="Times New Roman"/>
          <w:sz w:val="24"/>
          <w:lang w:val="en-GB"/>
        </w:rPr>
        <w:t xml:space="preserve"> </w:t>
      </w:r>
      <w:r w:rsidR="00DD73F6">
        <w:rPr>
          <w:rFonts w:ascii="Times New Roman" w:hAnsi="Times New Roman"/>
          <w:sz w:val="24"/>
          <w:lang w:val="en-GB"/>
        </w:rPr>
        <w:t xml:space="preserve"> </w:t>
      </w:r>
      <w:r w:rsidR="00CB5CA0">
        <w:rPr>
          <w:rFonts w:ascii="Times New Roman" w:hAnsi="Times New Roman"/>
          <w:sz w:val="24"/>
          <w:lang w:val="en-GB"/>
        </w:rPr>
        <w:t>1</w:t>
      </w:r>
      <w:r w:rsidR="00DD73F6">
        <w:rPr>
          <w:rFonts w:ascii="Times New Roman" w:hAnsi="Times New Roman"/>
          <w:sz w:val="24"/>
          <w:lang w:val="en-GB"/>
        </w:rPr>
        <w:t>8,956</w:t>
      </w:r>
      <w:r>
        <w:rPr>
          <w:rFonts w:ascii="Times New Roman" w:hAnsi="Times New Roman"/>
          <w:sz w:val="24"/>
          <w:lang w:val="en-GB"/>
        </w:rPr>
        <w:t>,000</w:t>
      </w: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NASDAQ </w:t>
      </w:r>
      <w:smartTag w:uri="urn:schemas-microsoft-com:office:smarttags" w:element="place">
        <w:smartTag w:uri="urn:schemas-microsoft-com:office:smarttags" w:element="State">
          <w:r>
            <w:rPr>
              <w:rFonts w:ascii="Times New Roman" w:hAnsi="Times New Roman"/>
              <w:sz w:val="24"/>
              <w:lang w:val="en-GB"/>
            </w:rPr>
            <w:t>Ind.</w:t>
          </w:r>
        </w:smartTag>
      </w:smartTag>
      <w:r w:rsidR="00123793">
        <w:rPr>
          <w:rFonts w:ascii="Times New Roman" w:hAnsi="Times New Roman"/>
          <w:sz w:val="24"/>
          <w:lang w:val="en-GB"/>
        </w:rPr>
        <w:t xml:space="preserve"> =   </w:t>
      </w:r>
      <w:r w:rsidR="00641782">
        <w:rPr>
          <w:rFonts w:ascii="Times New Roman" w:hAnsi="Times New Roman"/>
          <w:sz w:val="24"/>
          <w:lang w:val="en-GB"/>
        </w:rPr>
        <w:t xml:space="preserve">  </w:t>
      </w:r>
      <w:r w:rsidR="00DD73F6">
        <w:rPr>
          <w:rFonts w:ascii="Times New Roman" w:hAnsi="Times New Roman"/>
          <w:sz w:val="24"/>
          <w:lang w:val="en-GB"/>
        </w:rPr>
        <w:t xml:space="preserve"> </w:t>
      </w:r>
      <w:r w:rsidR="00CF3877">
        <w:rPr>
          <w:rFonts w:ascii="Times New Roman" w:hAnsi="Times New Roman"/>
          <w:sz w:val="24"/>
          <w:lang w:val="en-GB"/>
        </w:rPr>
        <w:t>2</w:t>
      </w:r>
      <w:r w:rsidR="00DD73F6">
        <w:rPr>
          <w:rFonts w:ascii="Times New Roman" w:hAnsi="Times New Roman"/>
          <w:sz w:val="24"/>
          <w:lang w:val="en-GB"/>
        </w:rPr>
        <w:t>7,238</w:t>
      </w:r>
      <w:r>
        <w:rPr>
          <w:rFonts w:ascii="Times New Roman" w:hAnsi="Times New Roman"/>
          <w:sz w:val="24"/>
          <w:lang w:val="en-GB"/>
        </w:rPr>
        <w:t>,000</w:t>
      </w:r>
    </w:p>
    <w:p w:rsidR="001E43F8" w:rsidRDefault="001E43F8" w:rsidP="001E43F8">
      <w:pPr>
        <w:tabs>
          <w:tab w:val="left" w:pos="0"/>
        </w:tabs>
        <w:suppressAutoHyphens/>
        <w:rPr>
          <w:rFonts w:ascii="Times New Roman" w:hAnsi="Times New Roman"/>
          <w:sz w:val="24"/>
          <w:lang w:val="en-GB"/>
        </w:rPr>
      </w:pPr>
    </w:p>
    <w:p w:rsidR="009E5324" w:rsidRDefault="009E5324" w:rsidP="001E43F8">
      <w:pPr>
        <w:tabs>
          <w:tab w:val="left" w:pos="0"/>
        </w:tabs>
        <w:suppressAutoHyphens/>
        <w:rPr>
          <w:rFonts w:ascii="Times New Roman" w:hAnsi="Times New Roman"/>
          <w:sz w:val="24"/>
          <w:lang w:val="en-GB"/>
        </w:rPr>
      </w:pPr>
    </w:p>
    <w:p w:rsidR="009E5324" w:rsidRDefault="009E5324" w:rsidP="001E43F8">
      <w:pPr>
        <w:tabs>
          <w:tab w:val="left" w:pos="0"/>
        </w:tabs>
        <w:suppressAutoHyphens/>
        <w:rPr>
          <w:rFonts w:ascii="Times New Roman" w:hAnsi="Times New Roman"/>
          <w:sz w:val="24"/>
          <w:lang w:val="en-GB"/>
        </w:rPr>
      </w:pPr>
    </w:p>
    <w:p w:rsidR="009E5324" w:rsidRDefault="009E5324" w:rsidP="001E43F8">
      <w:pPr>
        <w:tabs>
          <w:tab w:val="left" w:pos="0"/>
        </w:tabs>
        <w:suppressAutoHyphens/>
        <w:rPr>
          <w:rFonts w:ascii="Times New Roman" w:hAnsi="Times New Roman"/>
          <w:sz w:val="24"/>
          <w:lang w:val="en-GB"/>
        </w:rPr>
      </w:pPr>
    </w:p>
    <w:p w:rsidR="009E5324" w:rsidRDefault="009E5324"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The </w:t>
      </w:r>
      <w:r w:rsidR="0096251E">
        <w:rPr>
          <w:rFonts w:ascii="Times New Roman" w:hAnsi="Times New Roman"/>
          <w:sz w:val="24"/>
          <w:lang w:val="en-GB"/>
        </w:rPr>
        <w:t xml:space="preserve">unfiltered </w:t>
      </w:r>
      <w:r>
        <w:rPr>
          <w:rFonts w:ascii="Times New Roman" w:hAnsi="Times New Roman"/>
          <w:sz w:val="24"/>
          <w:lang w:val="en-GB"/>
        </w:rPr>
        <w:t>cashflow port</w:t>
      </w:r>
      <w:r w:rsidR="00FB1250">
        <w:rPr>
          <w:rFonts w:ascii="Times New Roman" w:hAnsi="Times New Roman"/>
          <w:sz w:val="24"/>
          <w:lang w:val="en-GB"/>
        </w:rPr>
        <w:t>folio outperformed the S&amp;P in 2</w:t>
      </w:r>
      <w:r w:rsidR="00DD73F6">
        <w:rPr>
          <w:rFonts w:ascii="Times New Roman" w:hAnsi="Times New Roman"/>
          <w:sz w:val="24"/>
          <w:lang w:val="en-GB"/>
        </w:rPr>
        <w:t>9</w:t>
      </w:r>
      <w:r w:rsidR="00FB1250">
        <w:rPr>
          <w:rFonts w:ascii="Times New Roman" w:hAnsi="Times New Roman"/>
          <w:sz w:val="24"/>
          <w:lang w:val="en-GB"/>
        </w:rPr>
        <w:t xml:space="preserve"> out of the </w:t>
      </w:r>
      <w:r w:rsidR="00A4159E">
        <w:rPr>
          <w:rFonts w:ascii="Times New Roman" w:hAnsi="Times New Roman"/>
          <w:sz w:val="24"/>
          <w:lang w:val="en-GB"/>
        </w:rPr>
        <w:t>3</w:t>
      </w:r>
      <w:r w:rsidR="00DD73F6">
        <w:rPr>
          <w:rFonts w:ascii="Times New Roman" w:hAnsi="Times New Roman"/>
          <w:sz w:val="24"/>
          <w:lang w:val="en-GB"/>
        </w:rPr>
        <w:t>5</w:t>
      </w:r>
      <w:r>
        <w:rPr>
          <w:rFonts w:ascii="Times New Roman" w:hAnsi="Times New Roman"/>
          <w:sz w:val="24"/>
          <w:lang w:val="en-GB"/>
        </w:rPr>
        <w:t xml:space="preserve"> years under review.</w:t>
      </w:r>
    </w:p>
    <w:p w:rsidR="001E43F8" w:rsidRDefault="001E43F8" w:rsidP="001E43F8">
      <w:pPr>
        <w:pStyle w:val="Heading1"/>
        <w:tabs>
          <w:tab w:val="clear" w:pos="-720"/>
          <w:tab w:val="left" w:pos="0"/>
        </w:tabs>
        <w:rPr>
          <w:b/>
        </w:rPr>
      </w:pPr>
    </w:p>
    <w:p w:rsidR="001E43F8" w:rsidRDefault="001E43F8" w:rsidP="001E43F8">
      <w:pPr>
        <w:pStyle w:val="Heading1"/>
        <w:tabs>
          <w:tab w:val="clear" w:pos="-720"/>
          <w:tab w:val="left" w:pos="0"/>
        </w:tabs>
        <w:rPr>
          <w:b/>
        </w:rPr>
      </w:pPr>
      <w:r>
        <w:rPr>
          <w:b/>
        </w:rPr>
        <w:t>Practical Considerations</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There are several practical rules that I have developed for the actual management of such a fund due to the nature of the companies selected:</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1. There are </w:t>
      </w:r>
      <w:r w:rsidR="00B94C46">
        <w:rPr>
          <w:rFonts w:ascii="Times New Roman" w:hAnsi="Times New Roman"/>
          <w:sz w:val="24"/>
          <w:lang w:val="en-GB"/>
        </w:rPr>
        <w:t xml:space="preserve">usually </w:t>
      </w:r>
      <w:r>
        <w:rPr>
          <w:rFonts w:ascii="Times New Roman" w:hAnsi="Times New Roman"/>
          <w:sz w:val="24"/>
          <w:lang w:val="en-GB"/>
        </w:rPr>
        <w:t>many building stocks on the list because they pay no dividends and have no plant spending. Because these stocks are so interest-sensitive, the stocks will not be purchased if the interest-rate environment is unfavorable.</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2. There are many technology stocks. Due to the short product life cycles, these stocks move very quickly. One must use some timing</w:t>
      </w:r>
      <w:r w:rsidR="00FA7976">
        <w:rPr>
          <w:rFonts w:ascii="Times New Roman" w:hAnsi="Times New Roman"/>
          <w:sz w:val="24"/>
          <w:lang w:val="en-GB"/>
        </w:rPr>
        <w:t xml:space="preserve"> methodology</w:t>
      </w:r>
      <w:r>
        <w:rPr>
          <w:rFonts w:ascii="Times New Roman" w:hAnsi="Times New Roman"/>
          <w:sz w:val="24"/>
          <w:lang w:val="en-GB"/>
        </w:rPr>
        <w:t xml:space="preserve"> to get in and out early. Buy only when share price momentum comes out of a base and accelerates. </w:t>
      </w:r>
    </w:p>
    <w:p w:rsidR="001E43F8" w:rsidRDefault="001E43F8" w:rsidP="001E43F8">
      <w:pPr>
        <w:tabs>
          <w:tab w:val="left" w:pos="0"/>
        </w:tabs>
        <w:suppressAutoHyphens/>
        <w:rPr>
          <w:rFonts w:ascii="Times New Roman" w:hAnsi="Times New Roman"/>
          <w:sz w:val="24"/>
          <w:lang w:val="en-GB"/>
        </w:rPr>
      </w:pPr>
    </w:p>
    <w:p w:rsidR="001E43F8" w:rsidRDefault="00B94C46" w:rsidP="001E43F8">
      <w:pPr>
        <w:tabs>
          <w:tab w:val="left" w:pos="0"/>
        </w:tabs>
        <w:suppressAutoHyphens/>
        <w:rPr>
          <w:rFonts w:ascii="Times New Roman" w:hAnsi="Times New Roman"/>
          <w:sz w:val="24"/>
          <w:lang w:val="en-GB"/>
        </w:rPr>
      </w:pPr>
      <w:r>
        <w:rPr>
          <w:rFonts w:ascii="Times New Roman" w:hAnsi="Times New Roman"/>
          <w:sz w:val="24"/>
          <w:lang w:val="en-GB"/>
        </w:rPr>
        <w:t xml:space="preserve">3. There </w:t>
      </w:r>
      <w:r w:rsidR="00A4159E">
        <w:rPr>
          <w:rFonts w:ascii="Times New Roman" w:hAnsi="Times New Roman"/>
          <w:sz w:val="24"/>
          <w:lang w:val="en-GB"/>
        </w:rPr>
        <w:t>we</w:t>
      </w:r>
      <w:r>
        <w:rPr>
          <w:rFonts w:ascii="Times New Roman" w:hAnsi="Times New Roman"/>
          <w:sz w:val="24"/>
          <w:lang w:val="en-GB"/>
        </w:rPr>
        <w:t>re many ‘cash cows’</w:t>
      </w:r>
      <w:r w:rsidR="001E43F8">
        <w:rPr>
          <w:rFonts w:ascii="Times New Roman" w:hAnsi="Times New Roman"/>
          <w:sz w:val="24"/>
          <w:lang w:val="en-GB"/>
        </w:rPr>
        <w:t xml:space="preserve"> like Playboy Enterprises</w:t>
      </w:r>
      <w:r w:rsidR="0076525E">
        <w:rPr>
          <w:rFonts w:ascii="Times New Roman" w:hAnsi="Times New Roman"/>
          <w:sz w:val="24"/>
          <w:lang w:val="en-GB"/>
        </w:rPr>
        <w:t>, King World, or Dairy Queen</w:t>
      </w:r>
      <w:r w:rsidR="001E43F8">
        <w:rPr>
          <w:rFonts w:ascii="Times New Roman" w:hAnsi="Times New Roman"/>
          <w:sz w:val="24"/>
          <w:lang w:val="en-GB"/>
        </w:rPr>
        <w:t xml:space="preserve"> that ha</w:t>
      </w:r>
      <w:r w:rsidR="0076525E">
        <w:rPr>
          <w:rFonts w:ascii="Times New Roman" w:hAnsi="Times New Roman"/>
          <w:sz w:val="24"/>
          <w:lang w:val="en-GB"/>
        </w:rPr>
        <w:t>d</w:t>
      </w:r>
      <w:r w:rsidR="001E43F8">
        <w:rPr>
          <w:rFonts w:ascii="Times New Roman" w:hAnsi="Times New Roman"/>
          <w:sz w:val="24"/>
          <w:lang w:val="en-GB"/>
        </w:rPr>
        <w:t xml:space="preserve"> good cash flows, but no revenue growth. Investors generally are not going to pay up for these stocks unless the company shows sales growth. Practically speaking, these stocks are not buy candidates.</w:t>
      </w:r>
    </w:p>
    <w:p w:rsidR="001E43F8" w:rsidRDefault="001E43F8" w:rsidP="001E43F8">
      <w:pPr>
        <w:tabs>
          <w:tab w:val="left" w:pos="0"/>
        </w:tabs>
        <w:suppressAutoHyphens/>
        <w:rPr>
          <w:rFonts w:ascii="Times New Roman" w:hAnsi="Times New Roman"/>
          <w:sz w:val="24"/>
          <w:lang w:val="en-GB"/>
        </w:rPr>
      </w:pPr>
    </w:p>
    <w:p w:rsidR="001E43F8" w:rsidRDefault="001E43F8" w:rsidP="001E43F8">
      <w:pPr>
        <w:keepNext/>
        <w:keepLines/>
        <w:tabs>
          <w:tab w:val="left" w:pos="0"/>
        </w:tabs>
        <w:suppressAutoHyphens/>
        <w:rPr>
          <w:rFonts w:ascii="Times New Roman" w:hAnsi="Times New Roman"/>
          <w:b/>
          <w:sz w:val="24"/>
          <w:u w:val="single"/>
          <w:lang w:val="en-GB"/>
        </w:rPr>
      </w:pPr>
      <w:r>
        <w:rPr>
          <w:rFonts w:ascii="Times New Roman" w:hAnsi="Times New Roman"/>
          <w:b/>
          <w:sz w:val="24"/>
          <w:u w:val="single"/>
          <w:lang w:val="en-GB"/>
        </w:rPr>
        <w:fldChar w:fldCharType="begin"/>
      </w:r>
      <w:r>
        <w:rPr>
          <w:rFonts w:ascii="Times New Roman" w:hAnsi="Times New Roman"/>
          <w:b/>
          <w:sz w:val="24"/>
          <w:u w:val="single"/>
          <w:lang w:val="en-GB"/>
        </w:rPr>
        <w:instrText xml:space="preserve">PRIVATE </w:instrText>
      </w:r>
      <w:r>
        <w:rPr>
          <w:rFonts w:ascii="Times New Roman" w:hAnsi="Times New Roman"/>
          <w:b/>
          <w:u w:val="single"/>
          <w:lang w:val="en-GB"/>
        </w:rPr>
      </w:r>
      <w:r>
        <w:rPr>
          <w:rFonts w:ascii="Times New Roman" w:hAnsi="Times New Roman"/>
          <w:b/>
          <w:sz w:val="24"/>
          <w:u w:val="single"/>
          <w:lang w:val="en-GB"/>
        </w:rPr>
        <w:fldChar w:fldCharType="end"/>
      </w:r>
      <w:r>
        <w:rPr>
          <w:rFonts w:ascii="Times New Roman" w:hAnsi="Times New Roman"/>
          <w:b/>
          <w:sz w:val="24"/>
          <w:u w:val="single"/>
          <w:lang w:val="en-GB"/>
        </w:rPr>
        <w:t>Improving the Results With a Relative Strength Screen</w:t>
      </w:r>
    </w:p>
    <w:p w:rsidR="000E02BE" w:rsidRDefault="000E02BE" w:rsidP="001E43F8">
      <w:pPr>
        <w:keepNext/>
        <w:keepLines/>
        <w:tabs>
          <w:tab w:val="left" w:pos="0"/>
        </w:tabs>
        <w:suppressAutoHyphens/>
        <w:rPr>
          <w:rFonts w:ascii="Times New Roman" w:hAnsi="Times New Roman"/>
          <w:sz w:val="24"/>
          <w:lang w:val="en-GB"/>
        </w:rPr>
      </w:pPr>
    </w:p>
    <w:p w:rsidR="001E43F8" w:rsidRPr="0069704B" w:rsidRDefault="001E43F8" w:rsidP="001E43F8">
      <w:pPr>
        <w:rPr>
          <w:rFonts w:ascii="Times New Roman" w:hAnsi="Times New Roman"/>
          <w:sz w:val="24"/>
          <w:szCs w:val="24"/>
        </w:rPr>
      </w:pPr>
      <w:r>
        <w:rPr>
          <w:rFonts w:ascii="Times New Roman" w:hAnsi="Times New Roman"/>
          <w:sz w:val="24"/>
          <w:lang w:val="en-GB"/>
        </w:rPr>
        <w:t>Richard Bernstein, Merrill Lynch’s Chief Strategist</w:t>
      </w:r>
      <w:r w:rsidRPr="0069704B">
        <w:rPr>
          <w:rFonts w:ascii="Times New Roman" w:hAnsi="Times New Roman"/>
          <w:sz w:val="24"/>
          <w:szCs w:val="24"/>
        </w:rPr>
        <w:t xml:space="preserve"> rated over forty stock selection t</w:t>
      </w:r>
      <w:r>
        <w:rPr>
          <w:rFonts w:ascii="Times New Roman" w:hAnsi="Times New Roman"/>
          <w:sz w:val="24"/>
          <w:szCs w:val="24"/>
        </w:rPr>
        <w:t>echniques from 1987 through 2006</w:t>
      </w:r>
      <w:r w:rsidRPr="0069704B">
        <w:rPr>
          <w:rFonts w:ascii="Times New Roman" w:hAnsi="Times New Roman"/>
          <w:sz w:val="24"/>
          <w:szCs w:val="24"/>
        </w:rPr>
        <w:t xml:space="preserve">. </w:t>
      </w:r>
      <w:r>
        <w:rPr>
          <w:rFonts w:ascii="Times New Roman" w:hAnsi="Times New Roman"/>
          <w:sz w:val="24"/>
          <w:lang w:val="en-GB"/>
        </w:rPr>
        <w:t>This test was conducted by selecting the top 50 stocks in each category on a monthly basis. For example, the top 50 relative strength stocks were chosen, held for one month, and then sold.</w:t>
      </w:r>
      <w:r w:rsidR="0076525E">
        <w:rPr>
          <w:rFonts w:ascii="Times New Roman" w:hAnsi="Times New Roman"/>
          <w:sz w:val="24"/>
          <w:lang w:val="en-GB"/>
        </w:rPr>
        <w:t xml:space="preserve"> </w:t>
      </w:r>
      <w:r w:rsidRPr="0069704B">
        <w:rPr>
          <w:rFonts w:ascii="Times New Roman" w:hAnsi="Times New Roman"/>
          <w:sz w:val="24"/>
          <w:szCs w:val="24"/>
        </w:rPr>
        <w:t>The ratings of the methods are listed in the table below:</w:t>
      </w:r>
    </w:p>
    <w:p w:rsidR="001E43F8" w:rsidRPr="0069704B" w:rsidRDefault="001E43F8" w:rsidP="001E43F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3864"/>
      </w:tblGrid>
      <w:tr w:rsidR="001E43F8" w:rsidRPr="00251EEE" w:rsidTr="00251EEE">
        <w:tc>
          <w:tcPr>
            <w:tcW w:w="0" w:type="auto"/>
          </w:tcPr>
          <w:p w:rsidR="001E43F8" w:rsidRPr="00251EEE" w:rsidRDefault="001E43F8" w:rsidP="001E43F8">
            <w:pPr>
              <w:rPr>
                <w:rFonts w:ascii="Times New Roman" w:hAnsi="Times New Roman"/>
                <w:b/>
                <w:sz w:val="24"/>
                <w:szCs w:val="24"/>
              </w:rPr>
            </w:pPr>
            <w:r w:rsidRPr="00251EEE">
              <w:rPr>
                <w:rFonts w:ascii="Times New Roman" w:hAnsi="Times New Roman"/>
                <w:b/>
                <w:sz w:val="24"/>
                <w:szCs w:val="24"/>
              </w:rPr>
              <w:t>Technique</w:t>
            </w:r>
          </w:p>
        </w:tc>
        <w:tc>
          <w:tcPr>
            <w:tcW w:w="0" w:type="auto"/>
          </w:tcPr>
          <w:p w:rsidR="001E43F8" w:rsidRPr="00251EEE" w:rsidRDefault="001E43F8" w:rsidP="001E43F8">
            <w:pPr>
              <w:rPr>
                <w:rFonts w:ascii="Times New Roman" w:hAnsi="Times New Roman"/>
                <w:b/>
                <w:sz w:val="24"/>
                <w:szCs w:val="24"/>
              </w:rPr>
            </w:pPr>
            <w:r w:rsidRPr="00251EEE">
              <w:rPr>
                <w:rFonts w:ascii="Times New Roman" w:hAnsi="Times New Roman"/>
                <w:b/>
                <w:sz w:val="24"/>
                <w:szCs w:val="24"/>
              </w:rPr>
              <w:t>19-Year Compound Annual Return</w:t>
            </w:r>
          </w:p>
        </w:tc>
      </w:tr>
      <w:tr w:rsidR="001E43F8" w:rsidRPr="00251EEE" w:rsidTr="00251EEE">
        <w:tc>
          <w:tcPr>
            <w:tcW w:w="0" w:type="auto"/>
          </w:tcPr>
          <w:p w:rsidR="001E43F8" w:rsidRPr="00251EEE" w:rsidRDefault="001E43F8" w:rsidP="001E43F8">
            <w:pPr>
              <w:rPr>
                <w:rFonts w:ascii="Times New Roman" w:hAnsi="Times New Roman"/>
                <w:sz w:val="24"/>
                <w:szCs w:val="24"/>
              </w:rPr>
            </w:pPr>
            <w:r w:rsidRPr="00251EEE">
              <w:rPr>
                <w:rFonts w:ascii="Times New Roman" w:hAnsi="Times New Roman"/>
                <w:sz w:val="24"/>
                <w:szCs w:val="24"/>
              </w:rPr>
              <w:t>EV/EBITDA</w:t>
            </w:r>
          </w:p>
        </w:tc>
        <w:tc>
          <w:tcPr>
            <w:tcW w:w="0" w:type="auto"/>
          </w:tcPr>
          <w:p w:rsidR="001E43F8" w:rsidRPr="00251EEE" w:rsidRDefault="001E43F8" w:rsidP="00251EEE">
            <w:pPr>
              <w:jc w:val="center"/>
              <w:rPr>
                <w:rFonts w:ascii="Times New Roman" w:hAnsi="Times New Roman"/>
                <w:sz w:val="24"/>
                <w:szCs w:val="24"/>
              </w:rPr>
            </w:pPr>
            <w:r w:rsidRPr="00251EEE">
              <w:rPr>
                <w:rFonts w:ascii="Times New Roman" w:hAnsi="Times New Roman"/>
                <w:sz w:val="24"/>
                <w:szCs w:val="24"/>
              </w:rPr>
              <w:t>+17.3%</w:t>
            </w:r>
          </w:p>
        </w:tc>
      </w:tr>
      <w:tr w:rsidR="001E43F8" w:rsidRPr="00251EEE" w:rsidTr="00251EEE">
        <w:tc>
          <w:tcPr>
            <w:tcW w:w="0" w:type="auto"/>
          </w:tcPr>
          <w:p w:rsidR="001E43F8" w:rsidRPr="00251EEE" w:rsidRDefault="001E43F8" w:rsidP="001E43F8">
            <w:pPr>
              <w:rPr>
                <w:rFonts w:ascii="Times New Roman" w:hAnsi="Times New Roman"/>
                <w:sz w:val="24"/>
                <w:szCs w:val="24"/>
              </w:rPr>
            </w:pPr>
            <w:r w:rsidRPr="00251EEE">
              <w:rPr>
                <w:rFonts w:ascii="Times New Roman" w:hAnsi="Times New Roman"/>
                <w:sz w:val="24"/>
                <w:szCs w:val="24"/>
              </w:rPr>
              <w:t>Low PEG Ratio</w:t>
            </w:r>
          </w:p>
        </w:tc>
        <w:tc>
          <w:tcPr>
            <w:tcW w:w="0" w:type="auto"/>
          </w:tcPr>
          <w:p w:rsidR="001E43F8" w:rsidRPr="00251EEE" w:rsidRDefault="001E43F8" w:rsidP="00251EEE">
            <w:pPr>
              <w:jc w:val="center"/>
              <w:rPr>
                <w:rFonts w:ascii="Times New Roman" w:hAnsi="Times New Roman"/>
                <w:sz w:val="24"/>
                <w:szCs w:val="24"/>
              </w:rPr>
            </w:pPr>
            <w:r w:rsidRPr="00251EEE">
              <w:rPr>
                <w:rFonts w:ascii="Times New Roman" w:hAnsi="Times New Roman"/>
                <w:sz w:val="24"/>
                <w:szCs w:val="24"/>
              </w:rPr>
              <w:t>+16.9%</w:t>
            </w:r>
          </w:p>
        </w:tc>
      </w:tr>
      <w:tr w:rsidR="001E43F8" w:rsidRPr="00251EEE" w:rsidTr="00251EEE">
        <w:tc>
          <w:tcPr>
            <w:tcW w:w="0" w:type="auto"/>
          </w:tcPr>
          <w:p w:rsidR="001E43F8" w:rsidRPr="00251EEE" w:rsidRDefault="001E43F8" w:rsidP="001E43F8">
            <w:pPr>
              <w:rPr>
                <w:rFonts w:ascii="Times New Roman" w:hAnsi="Times New Roman"/>
                <w:sz w:val="24"/>
                <w:szCs w:val="24"/>
              </w:rPr>
            </w:pPr>
            <w:r w:rsidRPr="00251EEE">
              <w:rPr>
                <w:rFonts w:ascii="Times New Roman" w:hAnsi="Times New Roman"/>
                <w:sz w:val="24"/>
                <w:szCs w:val="24"/>
              </w:rPr>
              <w:t>High Relative Strength</w:t>
            </w:r>
          </w:p>
        </w:tc>
        <w:tc>
          <w:tcPr>
            <w:tcW w:w="0" w:type="auto"/>
          </w:tcPr>
          <w:p w:rsidR="001E43F8" w:rsidRPr="00251EEE" w:rsidRDefault="001E43F8" w:rsidP="00251EEE">
            <w:pPr>
              <w:jc w:val="center"/>
              <w:rPr>
                <w:rFonts w:ascii="Times New Roman" w:hAnsi="Times New Roman"/>
                <w:sz w:val="24"/>
                <w:szCs w:val="24"/>
              </w:rPr>
            </w:pPr>
            <w:r w:rsidRPr="00251EEE">
              <w:rPr>
                <w:rFonts w:ascii="Times New Roman" w:hAnsi="Times New Roman"/>
                <w:sz w:val="24"/>
                <w:szCs w:val="24"/>
              </w:rPr>
              <w:t>+16.8%</w:t>
            </w:r>
          </w:p>
        </w:tc>
      </w:tr>
      <w:tr w:rsidR="001E43F8" w:rsidRPr="00251EEE" w:rsidTr="00251EEE">
        <w:tc>
          <w:tcPr>
            <w:tcW w:w="0" w:type="auto"/>
          </w:tcPr>
          <w:p w:rsidR="001E43F8" w:rsidRPr="00251EEE" w:rsidRDefault="001E43F8" w:rsidP="001E43F8">
            <w:pPr>
              <w:rPr>
                <w:rFonts w:ascii="Times New Roman" w:hAnsi="Times New Roman"/>
                <w:sz w:val="24"/>
                <w:szCs w:val="24"/>
              </w:rPr>
            </w:pPr>
            <w:r w:rsidRPr="00251EEE">
              <w:rPr>
                <w:rFonts w:ascii="Times New Roman" w:hAnsi="Times New Roman"/>
                <w:sz w:val="24"/>
                <w:szCs w:val="24"/>
              </w:rPr>
              <w:t>Low Price/Free Cashflow</w:t>
            </w:r>
          </w:p>
        </w:tc>
        <w:tc>
          <w:tcPr>
            <w:tcW w:w="0" w:type="auto"/>
          </w:tcPr>
          <w:p w:rsidR="001E43F8" w:rsidRPr="00251EEE" w:rsidRDefault="001E43F8" w:rsidP="00251EEE">
            <w:pPr>
              <w:jc w:val="center"/>
              <w:rPr>
                <w:rFonts w:ascii="Times New Roman" w:hAnsi="Times New Roman"/>
                <w:sz w:val="24"/>
                <w:szCs w:val="24"/>
              </w:rPr>
            </w:pPr>
            <w:r w:rsidRPr="00251EEE">
              <w:rPr>
                <w:rFonts w:ascii="Times New Roman" w:hAnsi="Times New Roman"/>
                <w:sz w:val="24"/>
                <w:szCs w:val="24"/>
              </w:rPr>
              <w:t>+16.0%</w:t>
            </w:r>
          </w:p>
        </w:tc>
      </w:tr>
      <w:tr w:rsidR="001E43F8" w:rsidRPr="00251EEE" w:rsidTr="00251EEE">
        <w:tc>
          <w:tcPr>
            <w:tcW w:w="0" w:type="auto"/>
          </w:tcPr>
          <w:p w:rsidR="001E43F8" w:rsidRPr="00251EEE" w:rsidRDefault="001E43F8" w:rsidP="001E43F8">
            <w:pPr>
              <w:rPr>
                <w:rFonts w:ascii="Times New Roman" w:hAnsi="Times New Roman"/>
                <w:sz w:val="24"/>
                <w:szCs w:val="24"/>
              </w:rPr>
            </w:pPr>
            <w:r w:rsidRPr="00251EEE">
              <w:rPr>
                <w:rFonts w:ascii="Times New Roman" w:hAnsi="Times New Roman"/>
                <w:sz w:val="24"/>
                <w:szCs w:val="24"/>
              </w:rPr>
              <w:t>S&amp;P 500</w:t>
            </w:r>
          </w:p>
        </w:tc>
        <w:tc>
          <w:tcPr>
            <w:tcW w:w="0" w:type="auto"/>
          </w:tcPr>
          <w:p w:rsidR="001E43F8" w:rsidRPr="00251EEE" w:rsidRDefault="001E43F8" w:rsidP="00251EEE">
            <w:pPr>
              <w:jc w:val="center"/>
              <w:rPr>
                <w:rFonts w:ascii="Times New Roman" w:hAnsi="Times New Roman"/>
                <w:sz w:val="24"/>
                <w:szCs w:val="24"/>
              </w:rPr>
            </w:pPr>
            <w:r w:rsidRPr="00251EEE">
              <w:rPr>
                <w:rFonts w:ascii="Times New Roman" w:hAnsi="Times New Roman"/>
                <w:sz w:val="24"/>
                <w:szCs w:val="24"/>
              </w:rPr>
              <w:t>+9.0%</w:t>
            </w:r>
          </w:p>
        </w:tc>
      </w:tr>
    </w:tbl>
    <w:p w:rsidR="001E43F8" w:rsidRDefault="001E43F8" w:rsidP="001E43F8">
      <w:pPr>
        <w:rPr>
          <w:rFonts w:ascii="Times New Roman" w:hAnsi="Times New Roman"/>
          <w:sz w:val="24"/>
          <w:szCs w:val="24"/>
        </w:rPr>
      </w:pPr>
    </w:p>
    <w:p w:rsidR="001E43F8" w:rsidRPr="0069704B" w:rsidRDefault="001E43F8" w:rsidP="001E43F8">
      <w:pPr>
        <w:rPr>
          <w:rFonts w:ascii="Times New Roman" w:hAnsi="Times New Roman"/>
          <w:sz w:val="24"/>
          <w:szCs w:val="24"/>
        </w:rPr>
      </w:pPr>
      <w:r w:rsidRPr="0069704B">
        <w:rPr>
          <w:rFonts w:ascii="Times New Roman" w:hAnsi="Times New Roman"/>
          <w:sz w:val="24"/>
          <w:szCs w:val="24"/>
        </w:rPr>
        <w:t xml:space="preserve">Only </w:t>
      </w:r>
      <w:r>
        <w:rPr>
          <w:rFonts w:ascii="Times New Roman" w:hAnsi="Times New Roman"/>
          <w:sz w:val="24"/>
          <w:szCs w:val="24"/>
        </w:rPr>
        <w:t>two</w:t>
      </w:r>
      <w:r w:rsidRPr="0069704B">
        <w:rPr>
          <w:rFonts w:ascii="Times New Roman" w:hAnsi="Times New Roman"/>
          <w:sz w:val="24"/>
          <w:szCs w:val="24"/>
        </w:rPr>
        <w:t xml:space="preserve"> stock selection methodolog</w:t>
      </w:r>
      <w:r>
        <w:rPr>
          <w:rFonts w:ascii="Times New Roman" w:hAnsi="Times New Roman"/>
          <w:sz w:val="24"/>
          <w:szCs w:val="24"/>
        </w:rPr>
        <w:t>ies</w:t>
      </w:r>
      <w:r w:rsidRPr="0069704B">
        <w:rPr>
          <w:rFonts w:ascii="Times New Roman" w:hAnsi="Times New Roman"/>
          <w:sz w:val="24"/>
          <w:szCs w:val="24"/>
        </w:rPr>
        <w:t xml:space="preserve"> exceeded the return generated by high relative strength. </w:t>
      </w:r>
      <w:r>
        <w:rPr>
          <w:rFonts w:ascii="Times New Roman" w:hAnsi="Times New Roman"/>
          <w:sz w:val="24"/>
          <w:szCs w:val="24"/>
        </w:rPr>
        <w:t>Also note that low price/free cashflow ranked highly. Although this is not the cash flow method that we use, it is reassuring to see its high ranking.</w:t>
      </w:r>
    </w:p>
    <w:p w:rsidR="001E43F8" w:rsidRPr="001E3E1F" w:rsidRDefault="001E43F8" w:rsidP="001E43F8">
      <w:pPr>
        <w:tabs>
          <w:tab w:val="left" w:pos="0"/>
        </w:tabs>
        <w:suppressAutoHyphens/>
        <w:rPr>
          <w:rFonts w:ascii="Times New Roman" w:hAnsi="Times New Roman"/>
          <w:sz w:val="24"/>
          <w:szCs w:val="24"/>
        </w:rPr>
      </w:pPr>
    </w:p>
    <w:p w:rsidR="001E43F8" w:rsidRPr="001E3E1F" w:rsidRDefault="001E43F8" w:rsidP="001E43F8">
      <w:pPr>
        <w:rPr>
          <w:rFonts w:ascii="Times New Roman" w:hAnsi="Times New Roman"/>
          <w:sz w:val="24"/>
          <w:szCs w:val="24"/>
        </w:rPr>
      </w:pPr>
      <w:r w:rsidRPr="001E3E1F">
        <w:rPr>
          <w:rFonts w:ascii="Times New Roman" w:hAnsi="Times New Roman"/>
          <w:sz w:val="24"/>
          <w:szCs w:val="24"/>
        </w:rPr>
        <w:t xml:space="preserve">The thesis that stock analysis and portfolio analysis can be improved with relative strength is supported by research. Professors Philip Brown and Ray Ball (Journal of Accounting Research, August 1968) found that when a company’s reported earnings were better than forecasted, the share price rose in the 12 months </w:t>
      </w:r>
      <w:r w:rsidRPr="0076525E">
        <w:rPr>
          <w:rFonts w:ascii="Times New Roman" w:hAnsi="Times New Roman"/>
          <w:i/>
          <w:sz w:val="24"/>
          <w:szCs w:val="24"/>
        </w:rPr>
        <w:t>prior</w:t>
      </w:r>
      <w:r w:rsidRPr="001E3E1F">
        <w:rPr>
          <w:rFonts w:ascii="Times New Roman" w:hAnsi="Times New Roman"/>
          <w:sz w:val="24"/>
          <w:szCs w:val="24"/>
        </w:rPr>
        <w:t xml:space="preserve"> to the announcement and tended to fall in the 6 months </w:t>
      </w:r>
      <w:r w:rsidRPr="0076525E">
        <w:rPr>
          <w:rFonts w:ascii="Times New Roman" w:hAnsi="Times New Roman"/>
          <w:i/>
          <w:sz w:val="24"/>
          <w:szCs w:val="24"/>
        </w:rPr>
        <w:t>after</w:t>
      </w:r>
      <w:r w:rsidRPr="001E3E1F">
        <w:rPr>
          <w:rFonts w:ascii="Times New Roman" w:hAnsi="Times New Roman"/>
          <w:sz w:val="24"/>
          <w:szCs w:val="24"/>
        </w:rPr>
        <w:t xml:space="preserve"> the announcement. Manown Kisor and Van Messner studied trends in earnings in the Financial Analysts Journal in January of 1969. They did not find predictability in earnings trends. Instead, they found that stocks that advance in price substantially ahead of the market for 6 months tend to have above average appreciation potential in the following 6 months. Thus, share price appreciation tends to precede favorable earnings, and stocks that perform well over 6 months tend to do so in the ensuing 6 months. </w:t>
      </w:r>
    </w:p>
    <w:p w:rsidR="001E43F8" w:rsidRPr="001E3E1F" w:rsidRDefault="001E43F8" w:rsidP="001E43F8">
      <w:pPr>
        <w:tabs>
          <w:tab w:val="left" w:pos="0"/>
        </w:tabs>
        <w:suppressAutoHyphens/>
        <w:rPr>
          <w:rFonts w:ascii="Times New Roman" w:hAnsi="Times New Roman"/>
          <w:sz w:val="24"/>
          <w:szCs w:val="24"/>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In order to improve returns, a </w:t>
      </w:r>
      <w:r w:rsidR="0076525E">
        <w:rPr>
          <w:rFonts w:ascii="Times New Roman" w:hAnsi="Times New Roman"/>
          <w:sz w:val="24"/>
          <w:lang w:val="en-GB"/>
        </w:rPr>
        <w:t xml:space="preserve">unique and proprietary </w:t>
      </w:r>
      <w:r>
        <w:rPr>
          <w:rFonts w:ascii="Times New Roman" w:hAnsi="Times New Roman"/>
          <w:sz w:val="24"/>
          <w:lang w:val="en-GB"/>
        </w:rPr>
        <w:t xml:space="preserve">screen was employed beginning in 1996. The </w:t>
      </w:r>
      <w:r w:rsidR="0076525E">
        <w:rPr>
          <w:rFonts w:ascii="Times New Roman" w:hAnsi="Times New Roman"/>
          <w:sz w:val="24"/>
          <w:lang w:val="en-GB"/>
        </w:rPr>
        <w:t xml:space="preserve">high cashflow </w:t>
      </w:r>
      <w:r>
        <w:rPr>
          <w:rFonts w:ascii="Times New Roman" w:hAnsi="Times New Roman"/>
          <w:sz w:val="24"/>
          <w:lang w:val="en-GB"/>
        </w:rPr>
        <w:t xml:space="preserve">group was screened at the beginning of each quarter from Q1 1996 to the present. The proprietary methodology eliminates any stock that gave negative relative strength signals for the previous 6 months. (Previous tests reveal that there is little difference between use of a 6-or 12-month time horizon. This process usually eliminates about 55% of the stocks being screened. On average, it eliminated 51% of the stocks during the study period.) </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 xml:space="preserve">The purpose of this screen is to eliminate stocks that either have temporarily run their course, or to drop stocks that are simply beginning to fail. In the first situation, the positive fundamentals have been recognized and exploited. The stock is beginning a period of consolidation that will not contribute </w:t>
      </w:r>
      <w:r w:rsidR="0076525E">
        <w:rPr>
          <w:rFonts w:ascii="Times New Roman" w:hAnsi="Times New Roman"/>
          <w:sz w:val="24"/>
          <w:lang w:val="en-GB"/>
        </w:rPr>
        <w:t>alpha</w:t>
      </w:r>
      <w:r>
        <w:rPr>
          <w:rFonts w:ascii="Times New Roman" w:hAnsi="Times New Roman"/>
          <w:sz w:val="24"/>
          <w:lang w:val="en-GB"/>
        </w:rPr>
        <w:t xml:space="preserve"> to the portfolio. In the second case, the fundamentals have </w:t>
      </w:r>
      <w:r w:rsidR="00817677">
        <w:rPr>
          <w:rFonts w:ascii="Times New Roman" w:hAnsi="Times New Roman"/>
          <w:sz w:val="24"/>
          <w:lang w:val="en-GB"/>
        </w:rPr>
        <w:t>deteriorated,</w:t>
      </w:r>
      <w:r>
        <w:rPr>
          <w:rFonts w:ascii="Times New Roman" w:hAnsi="Times New Roman"/>
          <w:sz w:val="24"/>
          <w:lang w:val="en-GB"/>
        </w:rPr>
        <w:t xml:space="preserve"> and informed investors are selling the stock. Note that stocks frequently give signals in relative terms before they do so in absolute terms. </w:t>
      </w:r>
    </w:p>
    <w:p w:rsidR="001E43F8" w:rsidRDefault="001E43F8" w:rsidP="001E43F8">
      <w:pPr>
        <w:tabs>
          <w:tab w:val="left" w:pos="0"/>
        </w:tabs>
        <w:suppressAutoHyphens/>
        <w:rPr>
          <w:rFonts w:ascii="Times New Roman" w:hAnsi="Times New Roman"/>
          <w:sz w:val="24"/>
          <w:lang w:val="en-GB"/>
        </w:rPr>
      </w:pPr>
    </w:p>
    <w:p w:rsidR="001E43F8" w:rsidRDefault="001E43F8" w:rsidP="001E43F8">
      <w:pPr>
        <w:pStyle w:val="Heading1"/>
        <w:tabs>
          <w:tab w:val="clear" w:pos="-720"/>
          <w:tab w:val="left" w:pos="0"/>
        </w:tabs>
        <w:rPr>
          <w:b/>
        </w:rPr>
      </w:pPr>
      <w:r>
        <w:rPr>
          <w:b/>
        </w:rPr>
        <w:t>Portfolio Results</w:t>
      </w:r>
    </w:p>
    <w:p w:rsidR="001E43F8" w:rsidRDefault="001E43F8" w:rsidP="001E43F8">
      <w:pPr>
        <w:tabs>
          <w:tab w:val="left" w:pos="0"/>
        </w:tabs>
        <w:suppressAutoHyphens/>
        <w:rPr>
          <w:rFonts w:ascii="Times New Roman" w:hAnsi="Times New Roman"/>
          <w:sz w:val="24"/>
          <w:lang w:val="en-GB"/>
        </w:rPr>
      </w:pPr>
    </w:p>
    <w:p w:rsidR="001E43F8" w:rsidRDefault="0076525E" w:rsidP="001E43F8">
      <w:pPr>
        <w:tabs>
          <w:tab w:val="left" w:pos="0"/>
        </w:tabs>
        <w:suppressAutoHyphens/>
        <w:rPr>
          <w:rFonts w:ascii="Times New Roman" w:hAnsi="Times New Roman"/>
          <w:sz w:val="24"/>
          <w:lang w:val="en-GB"/>
        </w:rPr>
      </w:pPr>
      <w:r>
        <w:rPr>
          <w:rFonts w:ascii="Times New Roman" w:hAnsi="Times New Roman"/>
          <w:sz w:val="24"/>
          <w:lang w:val="en-GB"/>
        </w:rPr>
        <w:t>The following table</w:t>
      </w:r>
      <w:r w:rsidR="001E43F8">
        <w:rPr>
          <w:rFonts w:ascii="Times New Roman" w:hAnsi="Times New Roman"/>
          <w:sz w:val="24"/>
          <w:lang w:val="en-GB"/>
        </w:rPr>
        <w:t xml:space="preserve"> </w:t>
      </w:r>
      <w:r>
        <w:rPr>
          <w:rFonts w:ascii="Times New Roman" w:hAnsi="Times New Roman"/>
          <w:sz w:val="24"/>
          <w:lang w:val="en-GB"/>
        </w:rPr>
        <w:t>depicts</w:t>
      </w:r>
      <w:r w:rsidR="001E43F8">
        <w:rPr>
          <w:rFonts w:ascii="Times New Roman" w:hAnsi="Times New Roman"/>
          <w:sz w:val="24"/>
          <w:lang w:val="en-GB"/>
        </w:rPr>
        <w:t xml:space="preserve"> the results. It was assumed that each stock was equally weighted in the portfolio. </w:t>
      </w:r>
      <w:r w:rsidR="001E43F8">
        <w:rPr>
          <w:rFonts w:ascii="Times New Roman" w:hAnsi="Times New Roman"/>
          <w:b/>
          <w:sz w:val="24"/>
          <w:lang w:val="en-GB"/>
        </w:rPr>
        <w:t>The screened grou</w:t>
      </w:r>
      <w:r w:rsidR="00E05FC9">
        <w:rPr>
          <w:rFonts w:ascii="Times New Roman" w:hAnsi="Times New Roman"/>
          <w:b/>
          <w:sz w:val="24"/>
          <w:lang w:val="en-GB"/>
        </w:rPr>
        <w:t xml:space="preserve">p outperformed the S&amp;P 500 in </w:t>
      </w:r>
      <w:r w:rsidR="009B39C3">
        <w:rPr>
          <w:rFonts w:ascii="Times New Roman" w:hAnsi="Times New Roman"/>
          <w:b/>
          <w:sz w:val="24"/>
          <w:lang w:val="en-GB"/>
        </w:rPr>
        <w:t>71</w:t>
      </w:r>
      <w:r w:rsidR="00E05FC9">
        <w:rPr>
          <w:rFonts w:ascii="Times New Roman" w:hAnsi="Times New Roman"/>
          <w:b/>
          <w:sz w:val="24"/>
          <w:lang w:val="en-GB"/>
        </w:rPr>
        <w:t xml:space="preserve"> of </w:t>
      </w:r>
      <w:r w:rsidR="00817677">
        <w:rPr>
          <w:rFonts w:ascii="Times New Roman" w:hAnsi="Times New Roman"/>
          <w:b/>
          <w:sz w:val="24"/>
          <w:lang w:val="en-GB"/>
        </w:rPr>
        <w:t>9</w:t>
      </w:r>
      <w:r w:rsidR="009B39C3">
        <w:rPr>
          <w:rFonts w:ascii="Times New Roman" w:hAnsi="Times New Roman"/>
          <w:b/>
          <w:sz w:val="24"/>
          <w:lang w:val="en-GB"/>
        </w:rPr>
        <w:t>9</w:t>
      </w:r>
      <w:r w:rsidR="001E43F8">
        <w:rPr>
          <w:rFonts w:ascii="Times New Roman" w:hAnsi="Times New Roman"/>
          <w:b/>
          <w:sz w:val="24"/>
          <w:lang w:val="en-GB"/>
        </w:rPr>
        <w:t xml:space="preserve"> quarters.</w:t>
      </w:r>
      <w:r w:rsidR="001E43F8">
        <w:rPr>
          <w:rFonts w:ascii="Times New Roman" w:hAnsi="Times New Roman"/>
          <w:sz w:val="24"/>
          <w:lang w:val="en-GB"/>
        </w:rPr>
        <w:t xml:space="preserve"> The first three columns depict the returns. </w:t>
      </w:r>
      <w:r w:rsidR="00510A53" w:rsidRPr="00C16003">
        <w:rPr>
          <w:rFonts w:ascii="Times New Roman" w:hAnsi="Times New Roman"/>
          <w:i/>
          <w:sz w:val="24"/>
          <w:lang w:val="en-GB"/>
        </w:rPr>
        <w:t xml:space="preserve">Kindly note that these are ongoing </w:t>
      </w:r>
      <w:r>
        <w:rPr>
          <w:rFonts w:ascii="Times New Roman" w:hAnsi="Times New Roman"/>
          <w:i/>
          <w:sz w:val="24"/>
          <w:lang w:val="en-GB"/>
        </w:rPr>
        <w:t>test</w:t>
      </w:r>
      <w:r w:rsidR="00510A53" w:rsidRPr="00C16003">
        <w:rPr>
          <w:rFonts w:ascii="Times New Roman" w:hAnsi="Times New Roman"/>
          <w:i/>
          <w:sz w:val="24"/>
          <w:lang w:val="en-GB"/>
        </w:rPr>
        <w:t xml:space="preserve"> results and not an active portfolio.</w:t>
      </w:r>
      <w:r w:rsidR="00510A53">
        <w:rPr>
          <w:rFonts w:ascii="Times New Roman" w:hAnsi="Times New Roman"/>
          <w:sz w:val="24"/>
          <w:lang w:val="en-GB"/>
        </w:rPr>
        <w:t xml:space="preserve"> Securities are selected from this group for </w:t>
      </w:r>
      <w:r w:rsidR="00D533BD">
        <w:rPr>
          <w:rFonts w:ascii="Times New Roman" w:hAnsi="Times New Roman"/>
          <w:sz w:val="24"/>
          <w:lang w:val="en-GB"/>
        </w:rPr>
        <w:t>client portf</w:t>
      </w:r>
      <w:r>
        <w:rPr>
          <w:rFonts w:ascii="Times New Roman" w:hAnsi="Times New Roman"/>
          <w:sz w:val="24"/>
          <w:lang w:val="en-GB"/>
        </w:rPr>
        <w:t>olios</w:t>
      </w:r>
      <w:r w:rsidR="00D533BD">
        <w:rPr>
          <w:rFonts w:ascii="Times New Roman" w:hAnsi="Times New Roman"/>
          <w:sz w:val="24"/>
          <w:lang w:val="en-GB"/>
        </w:rPr>
        <w:t>.</w:t>
      </w:r>
    </w:p>
    <w:p w:rsidR="001E43F8" w:rsidRDefault="001E43F8" w:rsidP="001E43F8">
      <w:pPr>
        <w:tabs>
          <w:tab w:val="left" w:pos="0"/>
        </w:tabs>
        <w:suppressAutoHyphens/>
        <w:rPr>
          <w:rFonts w:ascii="Times New Roman" w:hAnsi="Times New Roman"/>
          <w:sz w:val="24"/>
          <w:lang w:val="en-GB"/>
        </w:rPr>
      </w:pPr>
    </w:p>
    <w:p w:rsidR="001E43F8" w:rsidRDefault="001E43F8" w:rsidP="001E43F8">
      <w:pPr>
        <w:tabs>
          <w:tab w:val="left" w:pos="0"/>
        </w:tabs>
        <w:suppressAutoHyphens/>
        <w:rPr>
          <w:rFonts w:ascii="Times New Roman" w:hAnsi="Times New Roman"/>
          <w:sz w:val="24"/>
          <w:lang w:val="en-GB"/>
        </w:rPr>
      </w:pPr>
      <w:r>
        <w:rPr>
          <w:rFonts w:ascii="Times New Roman" w:hAnsi="Times New Roman"/>
          <w:sz w:val="24"/>
          <w:lang w:val="en-GB"/>
        </w:rPr>
        <w:t>Because the list contains stocks from the S&amp;P,</w:t>
      </w:r>
      <w:r w:rsidR="005E3776">
        <w:rPr>
          <w:rFonts w:ascii="Times New Roman" w:hAnsi="Times New Roman"/>
          <w:sz w:val="24"/>
          <w:lang w:val="en-GB"/>
        </w:rPr>
        <w:t xml:space="preserve"> and the</w:t>
      </w:r>
      <w:r>
        <w:rPr>
          <w:rFonts w:ascii="Times New Roman" w:hAnsi="Times New Roman"/>
          <w:sz w:val="24"/>
          <w:lang w:val="en-GB"/>
        </w:rPr>
        <w:t xml:space="preserve"> NASDAQ, a second composite benchmark was created. This was constructed in the following way. If </w:t>
      </w:r>
      <w:r w:rsidR="005E3776">
        <w:rPr>
          <w:rFonts w:ascii="Times New Roman" w:hAnsi="Times New Roman"/>
          <w:sz w:val="24"/>
          <w:lang w:val="en-GB"/>
        </w:rPr>
        <w:t>6</w:t>
      </w:r>
      <w:r>
        <w:rPr>
          <w:rFonts w:ascii="Times New Roman" w:hAnsi="Times New Roman"/>
          <w:sz w:val="24"/>
          <w:lang w:val="en-GB"/>
        </w:rPr>
        <w:t xml:space="preserve">0% of the stocks selected were NYSE issues, the </w:t>
      </w:r>
      <w:r w:rsidR="005E3776">
        <w:rPr>
          <w:rFonts w:ascii="Times New Roman" w:hAnsi="Times New Roman"/>
          <w:sz w:val="24"/>
          <w:lang w:val="en-GB"/>
        </w:rPr>
        <w:t>S&amp;P return was multiplied by 0.6</w:t>
      </w:r>
      <w:r>
        <w:rPr>
          <w:rFonts w:ascii="Times New Roman" w:hAnsi="Times New Roman"/>
          <w:sz w:val="24"/>
          <w:lang w:val="en-GB"/>
        </w:rPr>
        <w:t xml:space="preserve">0. If 40% of the stocks were from the NASDAQ, then 40% of the NASDAQ's return for the quarter was calculated. These amounts were then added to create a composite return. This number and the difference from the portfolio are listed in columns 5 and 6. The portfolio </w:t>
      </w:r>
      <w:r w:rsidR="0025759C">
        <w:rPr>
          <w:rFonts w:ascii="Times New Roman" w:hAnsi="Times New Roman"/>
          <w:sz w:val="24"/>
          <w:lang w:val="en-GB"/>
        </w:rPr>
        <w:t xml:space="preserve">outperformed this composite in </w:t>
      </w:r>
      <w:r w:rsidR="00817677">
        <w:rPr>
          <w:rFonts w:ascii="Times New Roman" w:hAnsi="Times New Roman"/>
          <w:sz w:val="24"/>
          <w:lang w:val="en-GB"/>
        </w:rPr>
        <w:t>6</w:t>
      </w:r>
      <w:r w:rsidR="009B39C3">
        <w:rPr>
          <w:rFonts w:ascii="Times New Roman" w:hAnsi="Times New Roman"/>
          <w:sz w:val="24"/>
          <w:lang w:val="en-GB"/>
        </w:rPr>
        <w:t>2</w:t>
      </w:r>
      <w:r w:rsidR="0025759C">
        <w:rPr>
          <w:rFonts w:ascii="Times New Roman" w:hAnsi="Times New Roman"/>
          <w:sz w:val="24"/>
          <w:lang w:val="en-GB"/>
        </w:rPr>
        <w:t xml:space="preserve"> of </w:t>
      </w:r>
      <w:r w:rsidR="00817677">
        <w:rPr>
          <w:rFonts w:ascii="Times New Roman" w:hAnsi="Times New Roman"/>
          <w:sz w:val="24"/>
          <w:lang w:val="en-GB"/>
        </w:rPr>
        <w:t>9</w:t>
      </w:r>
      <w:r w:rsidR="009B39C3">
        <w:rPr>
          <w:rFonts w:ascii="Times New Roman" w:hAnsi="Times New Roman"/>
          <w:sz w:val="24"/>
          <w:lang w:val="en-GB"/>
        </w:rPr>
        <w:t>9</w:t>
      </w:r>
      <w:r>
        <w:rPr>
          <w:rFonts w:ascii="Times New Roman" w:hAnsi="Times New Roman"/>
          <w:sz w:val="24"/>
          <w:lang w:val="en-GB"/>
        </w:rPr>
        <w:t xml:space="preserve"> quarters. </w:t>
      </w:r>
    </w:p>
    <w:p w:rsidR="001E43F8" w:rsidRDefault="001E43F8" w:rsidP="001E43F8">
      <w:pPr>
        <w:pStyle w:val="EndnoteText"/>
        <w:tabs>
          <w:tab w:val="left" w:pos="0"/>
        </w:tabs>
        <w:suppressAutoHyphens/>
        <w:rPr>
          <w:rFonts w:ascii="Times New Roman" w:hAnsi="Times New Roman"/>
          <w:lang w:val="en-GB"/>
        </w:rPr>
      </w:pPr>
    </w:p>
    <w:p w:rsidR="00542B46" w:rsidRDefault="001E43F8" w:rsidP="00542B46">
      <w:pPr>
        <w:tabs>
          <w:tab w:val="left" w:pos="0"/>
        </w:tabs>
        <w:suppressAutoHyphens/>
        <w:rPr>
          <w:rFonts w:ascii="Times New Roman" w:hAnsi="Times New Roman"/>
          <w:sz w:val="24"/>
          <w:lang w:val="en-GB"/>
        </w:rPr>
      </w:pPr>
      <w:r>
        <w:rPr>
          <w:rFonts w:ascii="Times New Roman" w:hAnsi="Times New Roman"/>
          <w:sz w:val="24"/>
          <w:lang w:val="en-GB"/>
        </w:rPr>
        <w:t xml:space="preserve">Looking at the returns on an annualized basis from January </w:t>
      </w:r>
      <w:r w:rsidR="00F9260A">
        <w:rPr>
          <w:rFonts w:ascii="Times New Roman" w:hAnsi="Times New Roman"/>
          <w:sz w:val="24"/>
          <w:lang w:val="en-GB"/>
        </w:rPr>
        <w:t xml:space="preserve">1, 1996 through </w:t>
      </w:r>
      <w:r w:rsidR="009B39C3">
        <w:rPr>
          <w:rFonts w:ascii="Times New Roman" w:hAnsi="Times New Roman"/>
          <w:sz w:val="24"/>
          <w:lang w:val="en-GB"/>
        </w:rPr>
        <w:t>December 31</w:t>
      </w:r>
      <w:r w:rsidR="00F9260A">
        <w:rPr>
          <w:rFonts w:ascii="Times New Roman" w:hAnsi="Times New Roman"/>
          <w:sz w:val="24"/>
          <w:lang w:val="en-GB"/>
        </w:rPr>
        <w:t>, 201</w:t>
      </w:r>
      <w:r w:rsidR="009B39C3">
        <w:rPr>
          <w:rFonts w:ascii="Times New Roman" w:hAnsi="Times New Roman"/>
          <w:sz w:val="24"/>
          <w:lang w:val="en-GB"/>
        </w:rPr>
        <w:t>9</w:t>
      </w:r>
      <w:r>
        <w:rPr>
          <w:rFonts w:ascii="Times New Roman" w:hAnsi="Times New Roman"/>
          <w:sz w:val="24"/>
          <w:lang w:val="en-GB"/>
        </w:rPr>
        <w:t>:</w:t>
      </w:r>
    </w:p>
    <w:p w:rsidR="001E43F8" w:rsidRDefault="001E43F8" w:rsidP="001E43F8">
      <w:pPr>
        <w:tabs>
          <w:tab w:val="left" w:pos="0"/>
        </w:tabs>
        <w:suppressAutoHyphens/>
        <w:rPr>
          <w:rFonts w:ascii="Times New Roman" w:hAnsi="Times New Roman"/>
          <w:sz w:val="24"/>
          <w:lang w:val="en-GB"/>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201"/>
        <w:gridCol w:w="995"/>
        <w:gridCol w:w="1282"/>
        <w:gridCol w:w="1434"/>
        <w:gridCol w:w="1282"/>
        <w:gridCol w:w="1237"/>
        <w:gridCol w:w="1470"/>
        <w:gridCol w:w="1000"/>
      </w:tblGrid>
      <w:tr w:rsidR="00DB4A21" w:rsidRPr="006279C5" w:rsidTr="006279C5">
        <w:trPr>
          <w:trHeight w:val="264"/>
        </w:trPr>
        <w:tc>
          <w:tcPr>
            <w:tcW w:w="9693" w:type="dxa"/>
            <w:gridSpan w:val="8"/>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1996-2019 QUARTERLY RETURNS OF CASH FLOW/RELATIVE STRENGTH PORTFOLIO</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Hit Ratio-</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Portfolio %</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S&amp;P %</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Difference</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Composite %</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Difference</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No.Stocks</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Hit Ratio-S&amp;P</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Comp.</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1996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6.76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1.96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1.85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1996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10.56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6.67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1996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11.06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2.49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8.57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9.90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1996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8.88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7.77</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4.91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1997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-0.94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4.35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1997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18.21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16.91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16.07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1997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21.19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7.02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14.17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11.31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9.88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1997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2.44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3.44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8.63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1998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18.71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13.53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5.18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12.39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6.32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1998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2.91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0.43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7.51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1998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-13.22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-2.92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-15.24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2.02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1998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22.05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20.86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22.49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-0.44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1999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2.12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4.65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-2.53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-3.53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1999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6.71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5.39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12.34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-0.24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1999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-6.56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8.62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-1.81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1999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31.46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14.54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16.92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28.32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3.14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14.52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w:t>
            </w:r>
            <w:r w:rsidR="00711A4C" w:rsidRPr="006279C5">
              <w:rPr>
                <w:rFonts w:ascii="Times New Roman" w:hAnsi="Times New Roman"/>
                <w:sz w:val="24"/>
              </w:rPr>
              <w:t>.00</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12.52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13.07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1.45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-0.33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-2.93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-9.04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8.71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3.84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4.50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13.33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-8.09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21.42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28.13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-12.11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6.76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8.05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12.98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7.46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11.48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1.50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-17.91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-14.99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-2.92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2.39</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23.46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10.29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13.17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17.47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5.99</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-0.06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4.28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0.59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3.63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66%</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-13.73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-12.71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5.38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-13.92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-17.63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3.71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-4.43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-5.21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0.86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24.2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9.3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5.70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9.7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6.00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3.50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7.61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2.62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6.28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0.64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-1.41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-2.86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-0.94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13.25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8.73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4.52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11.54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1.71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-3.58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-2.59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-0.99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0.90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0.91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4.74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4.40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2.66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3.15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-0.49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1.59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4.22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3.72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8.25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4.52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2.43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-2.43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-0.53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5.91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6.75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8.85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6.17</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2.68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7.42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1.43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0.18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0.79</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3.69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7.86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1.64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1.56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-2.97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-2.52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-0.85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2.97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4.32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-12.26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-9.92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-2.34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-11.19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-1.07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-2.91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0.32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-1.652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-1.26</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5.33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-10.25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6.58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-22.56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4.46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-26.73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8.63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2009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-11.67</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10.44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6.47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75%</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2009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16.04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15.22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0.82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18.51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-2.47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2009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17.43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14.98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2.45</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17.48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-0.05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2009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-2.04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-2.83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6.92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4.87</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2.05</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6.87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0.05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-11.86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5.96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-11.62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5.72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11.29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10.72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0.57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14.27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-2.98</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18.22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8.02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12.61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5.61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14.12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5.42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7.55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6.57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0.71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-0.39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-0.74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-19.17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-14.33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-4.84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-16.95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-2.22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2011</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11.15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-7.87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-3.42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28</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29%</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14.36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2.36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13.69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-4.69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-4.76</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-2.35</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-2.31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2012</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-0.56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0.45</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0.5426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56%</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10.94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3.64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4.64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59%</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62%</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10.75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2.36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8.39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7.67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41</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11.57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4.69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6.88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8.48</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3.09</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58%</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2013</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16.29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9.92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6.37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9.46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6.83</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68%</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2.08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5.45</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3.74</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-0.74</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-1.02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0.62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-4.41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1.30</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-5.09</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2014</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2.00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-4.65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-6.94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2.29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1.11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2015</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6.45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-3.08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8.49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-5.12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-3.68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-0.87</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-2.81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4.53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2.63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-0.51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5.04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3.31</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0.02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-3.77</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2016</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5.25</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3.34</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32</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1.87</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-3.66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9.69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-7.82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5.16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2.57</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2.59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3.44</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1.72</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55%</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4.38</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3.96</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0.42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4.99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-0.61</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2017</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-3.52</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6.195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-3.60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-0.69</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0.55</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-2.46</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9.6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2.93</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6.67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5.3</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4.30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8.9</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1.7</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1.00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2018</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-19.3</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-5.3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-3.30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2019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15.6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14</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1.6</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16.2</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-0.60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Q2 2019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7.1</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3.9</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3.20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63%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Q3 2019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0.2</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-0.90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43%</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Q4 2019</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10.6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8.5</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2.1</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11</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-0.40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47%</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40%</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Q1 2020</w:t>
            </w: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-22.6</w:t>
            </w: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-19.8</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-2.8</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-16</w:t>
            </w: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-6.60</w:t>
            </w: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30</w:t>
            </w: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50%</w:t>
            </w: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r w:rsidRPr="006279C5">
              <w:rPr>
                <w:rFonts w:ascii="Times New Roman" w:hAnsi="Times New Roman"/>
                <w:sz w:val="24"/>
              </w:rPr>
              <w:t>27%</w:t>
            </w: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01"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995"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3388" w:type="dxa"/>
            <w:gridSpan w:val="3"/>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Annualized Return=17.3%</w:t>
            </w: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r>
      <w:tr w:rsidR="00DB4A21" w:rsidRPr="006279C5" w:rsidTr="006279C5">
        <w:trPr>
          <w:trHeight w:val="264"/>
        </w:trPr>
        <w:tc>
          <w:tcPr>
            <w:tcW w:w="8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2196" w:type="dxa"/>
            <w:gridSpan w:val="2"/>
            <w:shd w:val="clear" w:color="auto" w:fill="auto"/>
            <w:noWrap/>
            <w:hideMark/>
          </w:tcPr>
          <w:p w:rsidR="00DB4A21" w:rsidRPr="006279C5" w:rsidRDefault="00DB4A21" w:rsidP="006279C5">
            <w:pPr>
              <w:tabs>
                <w:tab w:val="left" w:pos="0"/>
              </w:tabs>
              <w:suppressAutoHyphens/>
              <w:rPr>
                <w:rFonts w:ascii="Times New Roman" w:hAnsi="Times New Roman"/>
                <w:b/>
                <w:bCs/>
                <w:sz w:val="24"/>
              </w:rPr>
            </w:pPr>
            <w:r w:rsidRPr="006279C5">
              <w:rPr>
                <w:rFonts w:ascii="Times New Roman" w:hAnsi="Times New Roman"/>
                <w:b/>
                <w:bCs/>
                <w:sz w:val="24"/>
              </w:rPr>
              <w:t>S&amp;P Return=6.2%</w:t>
            </w:r>
          </w:p>
        </w:tc>
        <w:tc>
          <w:tcPr>
            <w:tcW w:w="1192" w:type="dxa"/>
            <w:shd w:val="clear" w:color="auto" w:fill="auto"/>
            <w:noWrap/>
            <w:hideMark/>
          </w:tcPr>
          <w:p w:rsidR="00DB4A21" w:rsidRPr="006279C5" w:rsidRDefault="00DB4A21" w:rsidP="006279C5">
            <w:pPr>
              <w:tabs>
                <w:tab w:val="left" w:pos="0"/>
              </w:tabs>
              <w:suppressAutoHyphens/>
              <w:rPr>
                <w:rFonts w:ascii="Times New Roman" w:hAnsi="Times New Roman"/>
                <w:b/>
                <w:bCs/>
                <w:sz w:val="24"/>
              </w:rPr>
            </w:pPr>
          </w:p>
        </w:tc>
        <w:tc>
          <w:tcPr>
            <w:tcW w:w="1434"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82"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237"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47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c>
          <w:tcPr>
            <w:tcW w:w="1000" w:type="dxa"/>
            <w:shd w:val="clear" w:color="auto" w:fill="auto"/>
            <w:noWrap/>
            <w:hideMark/>
          </w:tcPr>
          <w:p w:rsidR="00DB4A21" w:rsidRPr="006279C5" w:rsidRDefault="00DB4A21" w:rsidP="006279C5">
            <w:pPr>
              <w:tabs>
                <w:tab w:val="left" w:pos="0"/>
              </w:tabs>
              <w:suppressAutoHyphens/>
              <w:rPr>
                <w:rFonts w:ascii="Times New Roman" w:hAnsi="Times New Roman"/>
                <w:sz w:val="24"/>
              </w:rPr>
            </w:pPr>
          </w:p>
        </w:tc>
      </w:tr>
    </w:tbl>
    <w:p w:rsidR="00AE7878" w:rsidRDefault="00AE7878" w:rsidP="001E43F8">
      <w:pPr>
        <w:tabs>
          <w:tab w:val="left" w:pos="0"/>
        </w:tabs>
        <w:suppressAutoHyphens/>
        <w:rPr>
          <w:rFonts w:ascii="Times New Roman" w:hAnsi="Times New Roman"/>
          <w:sz w:val="24"/>
          <w:lang w:val="en-GB"/>
        </w:rPr>
      </w:pPr>
    </w:p>
    <w:sectPr w:rsidR="00AE7878">
      <w:footerReference w:type="even" r:id="rId8"/>
      <w:footerReference w:type="default" r:id="rId9"/>
      <w:endnotePr>
        <w:numFmt w:val="decimal"/>
      </w:endnotePr>
      <w:pgSz w:w="11904" w:h="16836"/>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EF" w:rsidRDefault="009A10EF">
      <w:pPr>
        <w:spacing w:line="20" w:lineRule="exact"/>
        <w:rPr>
          <w:sz w:val="24"/>
        </w:rPr>
      </w:pPr>
    </w:p>
  </w:endnote>
  <w:endnote w:type="continuationSeparator" w:id="0">
    <w:p w:rsidR="009A10EF" w:rsidRDefault="009A10EF">
      <w:r>
        <w:rPr>
          <w:sz w:val="24"/>
        </w:rPr>
        <w:t xml:space="preserve"> </w:t>
      </w:r>
    </w:p>
  </w:endnote>
  <w:endnote w:type="continuationNotice" w:id="1">
    <w:p w:rsidR="009A10EF" w:rsidRDefault="009A10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5" w:rsidRDefault="001C4455" w:rsidP="00DB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455" w:rsidRDefault="001C4455" w:rsidP="00B57F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55" w:rsidRDefault="001C4455" w:rsidP="00DB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FE0">
      <w:rPr>
        <w:rStyle w:val="PageNumber"/>
        <w:noProof/>
      </w:rPr>
      <w:t>1</w:t>
    </w:r>
    <w:r>
      <w:rPr>
        <w:rStyle w:val="PageNumber"/>
      </w:rPr>
      <w:fldChar w:fldCharType="end"/>
    </w:r>
  </w:p>
  <w:p w:rsidR="001C4455" w:rsidRPr="00254CB9" w:rsidRDefault="001C4455" w:rsidP="00254CB9">
    <w:pPr>
      <w:pStyle w:val="Footer"/>
      <w:ind w:right="360"/>
      <w:rPr>
        <w:sz w:val="16"/>
        <w:szCs w:val="16"/>
      </w:rPr>
    </w:pPr>
    <w:r w:rsidRPr="00765467">
      <w:rPr>
        <w:sz w:val="16"/>
        <w:szCs w:val="16"/>
      </w:rPr>
      <w:t>Copyright © Cycles Research, USA</w:t>
    </w:r>
    <w:r>
      <w:rPr>
        <w:sz w:val="16"/>
        <w:szCs w:val="16"/>
      </w:rPr>
      <w:t>, 20</w:t>
    </w:r>
    <w:r w:rsidR="009B39C3">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EF" w:rsidRDefault="009A10EF">
      <w:r>
        <w:rPr>
          <w:sz w:val="24"/>
        </w:rPr>
        <w:separator/>
      </w:r>
    </w:p>
  </w:footnote>
  <w:footnote w:type="continuationSeparator" w:id="0">
    <w:p w:rsidR="009A10EF" w:rsidRDefault="009A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D"/>
    <w:rsid w:val="00000A93"/>
    <w:rsid w:val="00005F13"/>
    <w:rsid w:val="0002498D"/>
    <w:rsid w:val="00082FFB"/>
    <w:rsid w:val="00091A3F"/>
    <w:rsid w:val="000A5A69"/>
    <w:rsid w:val="000B3E50"/>
    <w:rsid w:val="000D2B75"/>
    <w:rsid w:val="000E02BE"/>
    <w:rsid w:val="000E568A"/>
    <w:rsid w:val="00103F82"/>
    <w:rsid w:val="001128F0"/>
    <w:rsid w:val="00123793"/>
    <w:rsid w:val="001329C4"/>
    <w:rsid w:val="00141F0D"/>
    <w:rsid w:val="00166AD8"/>
    <w:rsid w:val="00182582"/>
    <w:rsid w:val="00182806"/>
    <w:rsid w:val="00192783"/>
    <w:rsid w:val="001C08A5"/>
    <w:rsid w:val="001C4455"/>
    <w:rsid w:val="001D0081"/>
    <w:rsid w:val="001E3E1F"/>
    <w:rsid w:val="001E43F8"/>
    <w:rsid w:val="001E6C68"/>
    <w:rsid w:val="002059B6"/>
    <w:rsid w:val="002448E6"/>
    <w:rsid w:val="00244D7B"/>
    <w:rsid w:val="00246008"/>
    <w:rsid w:val="00251EEE"/>
    <w:rsid w:val="00254CB9"/>
    <w:rsid w:val="0025759C"/>
    <w:rsid w:val="00292DB0"/>
    <w:rsid w:val="0029738E"/>
    <w:rsid w:val="002B02B6"/>
    <w:rsid w:val="003321F0"/>
    <w:rsid w:val="00341525"/>
    <w:rsid w:val="00342B3C"/>
    <w:rsid w:val="003531D1"/>
    <w:rsid w:val="003608AB"/>
    <w:rsid w:val="00362020"/>
    <w:rsid w:val="00362286"/>
    <w:rsid w:val="00367A99"/>
    <w:rsid w:val="0037288F"/>
    <w:rsid w:val="00375004"/>
    <w:rsid w:val="00396F6D"/>
    <w:rsid w:val="003B46E0"/>
    <w:rsid w:val="003B573C"/>
    <w:rsid w:val="003E382C"/>
    <w:rsid w:val="003E405A"/>
    <w:rsid w:val="003F20E3"/>
    <w:rsid w:val="003F23E8"/>
    <w:rsid w:val="00403790"/>
    <w:rsid w:val="00423160"/>
    <w:rsid w:val="00424996"/>
    <w:rsid w:val="00437290"/>
    <w:rsid w:val="00461E87"/>
    <w:rsid w:val="00470544"/>
    <w:rsid w:val="00475D62"/>
    <w:rsid w:val="00477213"/>
    <w:rsid w:val="004839C7"/>
    <w:rsid w:val="0049214E"/>
    <w:rsid w:val="00492C24"/>
    <w:rsid w:val="004949BE"/>
    <w:rsid w:val="004A53DE"/>
    <w:rsid w:val="004E2202"/>
    <w:rsid w:val="004E30DA"/>
    <w:rsid w:val="004F0BC2"/>
    <w:rsid w:val="004F38F9"/>
    <w:rsid w:val="00507DCD"/>
    <w:rsid w:val="00510A53"/>
    <w:rsid w:val="005170B2"/>
    <w:rsid w:val="005177D9"/>
    <w:rsid w:val="0052269C"/>
    <w:rsid w:val="00532843"/>
    <w:rsid w:val="005411B1"/>
    <w:rsid w:val="00542B46"/>
    <w:rsid w:val="00554276"/>
    <w:rsid w:val="00555615"/>
    <w:rsid w:val="00555E85"/>
    <w:rsid w:val="005622B9"/>
    <w:rsid w:val="005B1298"/>
    <w:rsid w:val="005B746F"/>
    <w:rsid w:val="005D06AB"/>
    <w:rsid w:val="005D41C8"/>
    <w:rsid w:val="005E3776"/>
    <w:rsid w:val="005E727A"/>
    <w:rsid w:val="005F3CAA"/>
    <w:rsid w:val="006046BB"/>
    <w:rsid w:val="006062B0"/>
    <w:rsid w:val="00617977"/>
    <w:rsid w:val="006279C5"/>
    <w:rsid w:val="00632D9C"/>
    <w:rsid w:val="00641782"/>
    <w:rsid w:val="00663718"/>
    <w:rsid w:val="00665017"/>
    <w:rsid w:val="00671D6D"/>
    <w:rsid w:val="00674401"/>
    <w:rsid w:val="006867B3"/>
    <w:rsid w:val="00690E4C"/>
    <w:rsid w:val="0069704B"/>
    <w:rsid w:val="006A5B59"/>
    <w:rsid w:val="006C3769"/>
    <w:rsid w:val="006F6DA7"/>
    <w:rsid w:val="0070315D"/>
    <w:rsid w:val="00711A4C"/>
    <w:rsid w:val="007265E6"/>
    <w:rsid w:val="00737C87"/>
    <w:rsid w:val="00742DB3"/>
    <w:rsid w:val="007629BD"/>
    <w:rsid w:val="0076525E"/>
    <w:rsid w:val="0077175E"/>
    <w:rsid w:val="0077597F"/>
    <w:rsid w:val="007A2FFC"/>
    <w:rsid w:val="007D7B9A"/>
    <w:rsid w:val="00800943"/>
    <w:rsid w:val="008011B6"/>
    <w:rsid w:val="0081335E"/>
    <w:rsid w:val="00817677"/>
    <w:rsid w:val="00842298"/>
    <w:rsid w:val="0084261A"/>
    <w:rsid w:val="0084329F"/>
    <w:rsid w:val="0088063E"/>
    <w:rsid w:val="00882D35"/>
    <w:rsid w:val="008A274B"/>
    <w:rsid w:val="008A5B21"/>
    <w:rsid w:val="008B00C9"/>
    <w:rsid w:val="008E3E58"/>
    <w:rsid w:val="0090699F"/>
    <w:rsid w:val="0091277C"/>
    <w:rsid w:val="00914A50"/>
    <w:rsid w:val="009346A8"/>
    <w:rsid w:val="00936562"/>
    <w:rsid w:val="00945465"/>
    <w:rsid w:val="0095446B"/>
    <w:rsid w:val="0096251E"/>
    <w:rsid w:val="00962CF9"/>
    <w:rsid w:val="00976CD7"/>
    <w:rsid w:val="009A10EF"/>
    <w:rsid w:val="009B39C3"/>
    <w:rsid w:val="009B76DA"/>
    <w:rsid w:val="009E5324"/>
    <w:rsid w:val="009F5DEB"/>
    <w:rsid w:val="00A06E7F"/>
    <w:rsid w:val="00A210D6"/>
    <w:rsid w:val="00A3618B"/>
    <w:rsid w:val="00A40971"/>
    <w:rsid w:val="00A4159E"/>
    <w:rsid w:val="00A7354E"/>
    <w:rsid w:val="00A743C8"/>
    <w:rsid w:val="00A77385"/>
    <w:rsid w:val="00A8676E"/>
    <w:rsid w:val="00AA2EC6"/>
    <w:rsid w:val="00AA5AC7"/>
    <w:rsid w:val="00AC2F21"/>
    <w:rsid w:val="00AC2FE0"/>
    <w:rsid w:val="00AC76B6"/>
    <w:rsid w:val="00AE2CC7"/>
    <w:rsid w:val="00AE7878"/>
    <w:rsid w:val="00AF11B0"/>
    <w:rsid w:val="00B01844"/>
    <w:rsid w:val="00B1586E"/>
    <w:rsid w:val="00B321FF"/>
    <w:rsid w:val="00B36196"/>
    <w:rsid w:val="00B559B0"/>
    <w:rsid w:val="00B57FEE"/>
    <w:rsid w:val="00B7733B"/>
    <w:rsid w:val="00B8240E"/>
    <w:rsid w:val="00B94C46"/>
    <w:rsid w:val="00BA18F5"/>
    <w:rsid w:val="00BA6670"/>
    <w:rsid w:val="00BC521D"/>
    <w:rsid w:val="00BE47AF"/>
    <w:rsid w:val="00C101DF"/>
    <w:rsid w:val="00C16003"/>
    <w:rsid w:val="00C16996"/>
    <w:rsid w:val="00C225F6"/>
    <w:rsid w:val="00C53053"/>
    <w:rsid w:val="00C8638A"/>
    <w:rsid w:val="00C90198"/>
    <w:rsid w:val="00C90586"/>
    <w:rsid w:val="00CB5CA0"/>
    <w:rsid w:val="00CD23AD"/>
    <w:rsid w:val="00CE5578"/>
    <w:rsid w:val="00CE6A0F"/>
    <w:rsid w:val="00CF3877"/>
    <w:rsid w:val="00CF4B62"/>
    <w:rsid w:val="00D20362"/>
    <w:rsid w:val="00D21C89"/>
    <w:rsid w:val="00D42019"/>
    <w:rsid w:val="00D51AC0"/>
    <w:rsid w:val="00D533BD"/>
    <w:rsid w:val="00D6642D"/>
    <w:rsid w:val="00D76B45"/>
    <w:rsid w:val="00DA69C3"/>
    <w:rsid w:val="00DB1022"/>
    <w:rsid w:val="00DB247F"/>
    <w:rsid w:val="00DB2897"/>
    <w:rsid w:val="00DB4A21"/>
    <w:rsid w:val="00DB65DE"/>
    <w:rsid w:val="00DD67F3"/>
    <w:rsid w:val="00DD73F6"/>
    <w:rsid w:val="00E05754"/>
    <w:rsid w:val="00E05FC9"/>
    <w:rsid w:val="00E15EBD"/>
    <w:rsid w:val="00E163A1"/>
    <w:rsid w:val="00E2640F"/>
    <w:rsid w:val="00E30B5E"/>
    <w:rsid w:val="00E32027"/>
    <w:rsid w:val="00E343B2"/>
    <w:rsid w:val="00E61C6E"/>
    <w:rsid w:val="00E71D94"/>
    <w:rsid w:val="00E7570A"/>
    <w:rsid w:val="00E97AB8"/>
    <w:rsid w:val="00EF299A"/>
    <w:rsid w:val="00EF4041"/>
    <w:rsid w:val="00EF7FB5"/>
    <w:rsid w:val="00F015D7"/>
    <w:rsid w:val="00F01A4A"/>
    <w:rsid w:val="00F15922"/>
    <w:rsid w:val="00F27E8C"/>
    <w:rsid w:val="00F33360"/>
    <w:rsid w:val="00F56937"/>
    <w:rsid w:val="00F84674"/>
    <w:rsid w:val="00F9260A"/>
    <w:rsid w:val="00F9380D"/>
    <w:rsid w:val="00FA7976"/>
    <w:rsid w:val="00FB1250"/>
    <w:rsid w:val="00FB6F1D"/>
    <w:rsid w:val="00FC18A7"/>
    <w:rsid w:val="00FE414A"/>
    <w:rsid w:val="00FE4512"/>
    <w:rsid w:val="00FF2E1C"/>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Times New Roman" w:hAnsi="Times New Roman"/>
      <w:sz w:val="24"/>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rsid w:val="0069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769"/>
    <w:rPr>
      <w:rFonts w:ascii="Tahoma" w:hAnsi="Tahoma" w:cs="Tahoma"/>
      <w:sz w:val="16"/>
      <w:szCs w:val="16"/>
    </w:rPr>
  </w:style>
  <w:style w:type="paragraph" w:styleId="Header">
    <w:name w:val="header"/>
    <w:basedOn w:val="Normal"/>
    <w:rsid w:val="00B57FEE"/>
    <w:pPr>
      <w:tabs>
        <w:tab w:val="center" w:pos="4320"/>
        <w:tab w:val="right" w:pos="8640"/>
      </w:tabs>
    </w:pPr>
  </w:style>
  <w:style w:type="paragraph" w:styleId="Footer">
    <w:name w:val="footer"/>
    <w:basedOn w:val="Normal"/>
    <w:rsid w:val="00B57FEE"/>
    <w:pPr>
      <w:tabs>
        <w:tab w:val="center" w:pos="4320"/>
        <w:tab w:val="right" w:pos="8640"/>
      </w:tabs>
    </w:pPr>
  </w:style>
  <w:style w:type="character" w:styleId="PageNumber">
    <w:name w:val="page number"/>
    <w:basedOn w:val="DefaultParagraphFont"/>
    <w:rsid w:val="00B57FEE"/>
  </w:style>
  <w:style w:type="numbering" w:customStyle="1" w:styleId="NoList1">
    <w:name w:val="No List1"/>
    <w:next w:val="NoList"/>
    <w:uiPriority w:val="99"/>
    <w:semiHidden/>
    <w:unhideWhenUsed/>
    <w:rsid w:val="0096251E"/>
  </w:style>
  <w:style w:type="character" w:styleId="Hyperlink">
    <w:name w:val="Hyperlink"/>
    <w:uiPriority w:val="99"/>
    <w:unhideWhenUsed/>
    <w:rsid w:val="0096251E"/>
    <w:rPr>
      <w:color w:val="0000FF"/>
      <w:u w:val="single"/>
    </w:rPr>
  </w:style>
  <w:style w:type="character" w:styleId="FollowedHyperlink">
    <w:name w:val="FollowedHyperlink"/>
    <w:uiPriority w:val="99"/>
    <w:unhideWhenUsed/>
    <w:rsid w:val="0096251E"/>
    <w:rPr>
      <w:color w:val="800080"/>
      <w:u w:val="single"/>
    </w:rPr>
  </w:style>
  <w:style w:type="paragraph" w:customStyle="1" w:styleId="msonormal0">
    <w:name w:val="msonormal"/>
    <w:basedOn w:val="Normal"/>
    <w:rsid w:val="0096251E"/>
    <w:pPr>
      <w:widowControl/>
      <w:spacing w:before="100" w:beforeAutospacing="1" w:after="100" w:afterAutospacing="1"/>
    </w:pPr>
    <w:rPr>
      <w:rFonts w:ascii="Times New Roman" w:hAnsi="Times New Roman"/>
      <w:sz w:val="24"/>
      <w:szCs w:val="24"/>
    </w:rPr>
  </w:style>
  <w:style w:type="paragraph" w:customStyle="1" w:styleId="xl66">
    <w:name w:val="xl66"/>
    <w:basedOn w:val="Normal"/>
    <w:rsid w:val="0096251E"/>
    <w:pPr>
      <w:widowControl/>
      <w:spacing w:before="100" w:beforeAutospacing="1" w:after="100" w:afterAutospacing="1"/>
    </w:pPr>
    <w:rPr>
      <w:rFonts w:ascii="Arial" w:hAnsi="Arial" w:cs="Arial"/>
      <w:b/>
      <w:bCs/>
      <w:sz w:val="24"/>
      <w:szCs w:val="24"/>
    </w:rPr>
  </w:style>
  <w:style w:type="paragraph" w:customStyle="1" w:styleId="xl69">
    <w:name w:val="xl69"/>
    <w:basedOn w:val="Normal"/>
    <w:rsid w:val="0096251E"/>
    <w:pPr>
      <w:widowControl/>
      <w:spacing w:before="100" w:beforeAutospacing="1" w:after="100" w:afterAutospacing="1"/>
    </w:pPr>
    <w:rPr>
      <w:rFonts w:ascii="Arial" w:hAnsi="Arial" w:cs="Arial"/>
      <w:b/>
      <w:bCs/>
      <w:sz w:val="24"/>
      <w:szCs w:val="24"/>
    </w:rPr>
  </w:style>
  <w:style w:type="paragraph" w:customStyle="1" w:styleId="xl70">
    <w:name w:val="xl70"/>
    <w:basedOn w:val="Normal"/>
    <w:rsid w:val="0096251E"/>
    <w:pPr>
      <w:widowControl/>
      <w:spacing w:before="100" w:beforeAutospacing="1" w:after="100" w:afterAutospacing="1"/>
    </w:pPr>
    <w:rPr>
      <w:rFonts w:ascii="Arial" w:hAnsi="Arial" w:cs="Arial"/>
      <w:sz w:val="24"/>
      <w:szCs w:val="24"/>
    </w:rPr>
  </w:style>
  <w:style w:type="paragraph" w:customStyle="1" w:styleId="xl71">
    <w:name w:val="xl71"/>
    <w:basedOn w:val="Normal"/>
    <w:rsid w:val="0096251E"/>
    <w:pPr>
      <w:widowControl/>
      <w:spacing w:before="100" w:beforeAutospacing="1" w:after="100" w:afterAutospacing="1"/>
    </w:pPr>
    <w:rPr>
      <w:rFonts w:ascii="Arial" w:hAnsi="Arial" w:cs="Arial"/>
      <w:sz w:val="24"/>
      <w:szCs w:val="24"/>
    </w:rPr>
  </w:style>
  <w:style w:type="paragraph" w:customStyle="1" w:styleId="xl72">
    <w:name w:val="xl72"/>
    <w:basedOn w:val="Normal"/>
    <w:rsid w:val="0096251E"/>
    <w:pPr>
      <w:widowControl/>
      <w:shd w:val="clear" w:color="000000" w:fill="FFFFFF"/>
      <w:spacing w:before="100" w:beforeAutospacing="1" w:after="100" w:afterAutospacing="1"/>
    </w:pPr>
    <w:rPr>
      <w:rFonts w:ascii="Arial" w:hAnsi="Arial" w:cs="Arial"/>
      <w:sz w:val="24"/>
      <w:szCs w:val="24"/>
    </w:rPr>
  </w:style>
  <w:style w:type="paragraph" w:customStyle="1" w:styleId="xl65">
    <w:name w:val="xl65"/>
    <w:basedOn w:val="Normal"/>
    <w:rsid w:val="00DB4A21"/>
    <w:pPr>
      <w:widowControl/>
      <w:spacing w:before="100" w:beforeAutospacing="1" w:after="100" w:afterAutospacing="1"/>
    </w:pPr>
    <w:rPr>
      <w:rFonts w:ascii="Arial" w:hAnsi="Arial" w:cs="Arial"/>
      <w:b/>
      <w:bCs/>
      <w:sz w:val="24"/>
      <w:szCs w:val="24"/>
    </w:rPr>
  </w:style>
  <w:style w:type="paragraph" w:customStyle="1" w:styleId="xl68">
    <w:name w:val="xl68"/>
    <w:basedOn w:val="Normal"/>
    <w:rsid w:val="00DB4A21"/>
    <w:pPr>
      <w:widowControl/>
      <w:spacing w:before="100" w:beforeAutospacing="1" w:after="100" w:afterAutospacing="1"/>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Times New Roman" w:hAnsi="Times New Roman"/>
      <w:sz w:val="24"/>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rsid w:val="0069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769"/>
    <w:rPr>
      <w:rFonts w:ascii="Tahoma" w:hAnsi="Tahoma" w:cs="Tahoma"/>
      <w:sz w:val="16"/>
      <w:szCs w:val="16"/>
    </w:rPr>
  </w:style>
  <w:style w:type="paragraph" w:styleId="Header">
    <w:name w:val="header"/>
    <w:basedOn w:val="Normal"/>
    <w:rsid w:val="00B57FEE"/>
    <w:pPr>
      <w:tabs>
        <w:tab w:val="center" w:pos="4320"/>
        <w:tab w:val="right" w:pos="8640"/>
      </w:tabs>
    </w:pPr>
  </w:style>
  <w:style w:type="paragraph" w:styleId="Footer">
    <w:name w:val="footer"/>
    <w:basedOn w:val="Normal"/>
    <w:rsid w:val="00B57FEE"/>
    <w:pPr>
      <w:tabs>
        <w:tab w:val="center" w:pos="4320"/>
        <w:tab w:val="right" w:pos="8640"/>
      </w:tabs>
    </w:pPr>
  </w:style>
  <w:style w:type="character" w:styleId="PageNumber">
    <w:name w:val="page number"/>
    <w:basedOn w:val="DefaultParagraphFont"/>
    <w:rsid w:val="00B57FEE"/>
  </w:style>
  <w:style w:type="numbering" w:customStyle="1" w:styleId="NoList1">
    <w:name w:val="No List1"/>
    <w:next w:val="NoList"/>
    <w:uiPriority w:val="99"/>
    <w:semiHidden/>
    <w:unhideWhenUsed/>
    <w:rsid w:val="0096251E"/>
  </w:style>
  <w:style w:type="character" w:styleId="Hyperlink">
    <w:name w:val="Hyperlink"/>
    <w:uiPriority w:val="99"/>
    <w:unhideWhenUsed/>
    <w:rsid w:val="0096251E"/>
    <w:rPr>
      <w:color w:val="0000FF"/>
      <w:u w:val="single"/>
    </w:rPr>
  </w:style>
  <w:style w:type="character" w:styleId="FollowedHyperlink">
    <w:name w:val="FollowedHyperlink"/>
    <w:uiPriority w:val="99"/>
    <w:unhideWhenUsed/>
    <w:rsid w:val="0096251E"/>
    <w:rPr>
      <w:color w:val="800080"/>
      <w:u w:val="single"/>
    </w:rPr>
  </w:style>
  <w:style w:type="paragraph" w:customStyle="1" w:styleId="msonormal0">
    <w:name w:val="msonormal"/>
    <w:basedOn w:val="Normal"/>
    <w:rsid w:val="0096251E"/>
    <w:pPr>
      <w:widowControl/>
      <w:spacing w:before="100" w:beforeAutospacing="1" w:after="100" w:afterAutospacing="1"/>
    </w:pPr>
    <w:rPr>
      <w:rFonts w:ascii="Times New Roman" w:hAnsi="Times New Roman"/>
      <w:sz w:val="24"/>
      <w:szCs w:val="24"/>
    </w:rPr>
  </w:style>
  <w:style w:type="paragraph" w:customStyle="1" w:styleId="xl66">
    <w:name w:val="xl66"/>
    <w:basedOn w:val="Normal"/>
    <w:rsid w:val="0096251E"/>
    <w:pPr>
      <w:widowControl/>
      <w:spacing w:before="100" w:beforeAutospacing="1" w:after="100" w:afterAutospacing="1"/>
    </w:pPr>
    <w:rPr>
      <w:rFonts w:ascii="Arial" w:hAnsi="Arial" w:cs="Arial"/>
      <w:b/>
      <w:bCs/>
      <w:sz w:val="24"/>
      <w:szCs w:val="24"/>
    </w:rPr>
  </w:style>
  <w:style w:type="paragraph" w:customStyle="1" w:styleId="xl69">
    <w:name w:val="xl69"/>
    <w:basedOn w:val="Normal"/>
    <w:rsid w:val="0096251E"/>
    <w:pPr>
      <w:widowControl/>
      <w:spacing w:before="100" w:beforeAutospacing="1" w:after="100" w:afterAutospacing="1"/>
    </w:pPr>
    <w:rPr>
      <w:rFonts w:ascii="Arial" w:hAnsi="Arial" w:cs="Arial"/>
      <w:b/>
      <w:bCs/>
      <w:sz w:val="24"/>
      <w:szCs w:val="24"/>
    </w:rPr>
  </w:style>
  <w:style w:type="paragraph" w:customStyle="1" w:styleId="xl70">
    <w:name w:val="xl70"/>
    <w:basedOn w:val="Normal"/>
    <w:rsid w:val="0096251E"/>
    <w:pPr>
      <w:widowControl/>
      <w:spacing w:before="100" w:beforeAutospacing="1" w:after="100" w:afterAutospacing="1"/>
    </w:pPr>
    <w:rPr>
      <w:rFonts w:ascii="Arial" w:hAnsi="Arial" w:cs="Arial"/>
      <w:sz w:val="24"/>
      <w:szCs w:val="24"/>
    </w:rPr>
  </w:style>
  <w:style w:type="paragraph" w:customStyle="1" w:styleId="xl71">
    <w:name w:val="xl71"/>
    <w:basedOn w:val="Normal"/>
    <w:rsid w:val="0096251E"/>
    <w:pPr>
      <w:widowControl/>
      <w:spacing w:before="100" w:beforeAutospacing="1" w:after="100" w:afterAutospacing="1"/>
    </w:pPr>
    <w:rPr>
      <w:rFonts w:ascii="Arial" w:hAnsi="Arial" w:cs="Arial"/>
      <w:sz w:val="24"/>
      <w:szCs w:val="24"/>
    </w:rPr>
  </w:style>
  <w:style w:type="paragraph" w:customStyle="1" w:styleId="xl72">
    <w:name w:val="xl72"/>
    <w:basedOn w:val="Normal"/>
    <w:rsid w:val="0096251E"/>
    <w:pPr>
      <w:widowControl/>
      <w:shd w:val="clear" w:color="000000" w:fill="FFFFFF"/>
      <w:spacing w:before="100" w:beforeAutospacing="1" w:after="100" w:afterAutospacing="1"/>
    </w:pPr>
    <w:rPr>
      <w:rFonts w:ascii="Arial" w:hAnsi="Arial" w:cs="Arial"/>
      <w:sz w:val="24"/>
      <w:szCs w:val="24"/>
    </w:rPr>
  </w:style>
  <w:style w:type="paragraph" w:customStyle="1" w:styleId="xl65">
    <w:name w:val="xl65"/>
    <w:basedOn w:val="Normal"/>
    <w:rsid w:val="00DB4A21"/>
    <w:pPr>
      <w:widowControl/>
      <w:spacing w:before="100" w:beforeAutospacing="1" w:after="100" w:afterAutospacing="1"/>
    </w:pPr>
    <w:rPr>
      <w:rFonts w:ascii="Arial" w:hAnsi="Arial" w:cs="Arial"/>
      <w:b/>
      <w:bCs/>
      <w:sz w:val="24"/>
      <w:szCs w:val="24"/>
    </w:rPr>
  </w:style>
  <w:style w:type="paragraph" w:customStyle="1" w:styleId="xl68">
    <w:name w:val="xl68"/>
    <w:basedOn w:val="Normal"/>
    <w:rsid w:val="00DB4A21"/>
    <w:pPr>
      <w:widowControl/>
      <w:spacing w:before="100" w:beforeAutospacing="1" w:after="100" w:afterAutospacing="1"/>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854">
      <w:bodyDiv w:val="1"/>
      <w:marLeft w:val="0"/>
      <w:marRight w:val="0"/>
      <w:marTop w:val="0"/>
      <w:marBottom w:val="0"/>
      <w:divBdr>
        <w:top w:val="none" w:sz="0" w:space="0" w:color="auto"/>
        <w:left w:val="none" w:sz="0" w:space="0" w:color="auto"/>
        <w:bottom w:val="none" w:sz="0" w:space="0" w:color="auto"/>
        <w:right w:val="none" w:sz="0" w:space="0" w:color="auto"/>
      </w:divBdr>
    </w:div>
    <w:div w:id="55008825">
      <w:bodyDiv w:val="1"/>
      <w:marLeft w:val="0"/>
      <w:marRight w:val="0"/>
      <w:marTop w:val="0"/>
      <w:marBottom w:val="0"/>
      <w:divBdr>
        <w:top w:val="none" w:sz="0" w:space="0" w:color="auto"/>
        <w:left w:val="none" w:sz="0" w:space="0" w:color="auto"/>
        <w:bottom w:val="none" w:sz="0" w:space="0" w:color="auto"/>
        <w:right w:val="none" w:sz="0" w:space="0" w:color="auto"/>
      </w:divBdr>
    </w:div>
    <w:div w:id="206840678">
      <w:bodyDiv w:val="1"/>
      <w:marLeft w:val="0"/>
      <w:marRight w:val="0"/>
      <w:marTop w:val="0"/>
      <w:marBottom w:val="0"/>
      <w:divBdr>
        <w:top w:val="none" w:sz="0" w:space="0" w:color="auto"/>
        <w:left w:val="none" w:sz="0" w:space="0" w:color="auto"/>
        <w:bottom w:val="none" w:sz="0" w:space="0" w:color="auto"/>
        <w:right w:val="none" w:sz="0" w:space="0" w:color="auto"/>
      </w:divBdr>
    </w:div>
    <w:div w:id="335694040">
      <w:bodyDiv w:val="1"/>
      <w:marLeft w:val="0"/>
      <w:marRight w:val="0"/>
      <w:marTop w:val="0"/>
      <w:marBottom w:val="0"/>
      <w:divBdr>
        <w:top w:val="none" w:sz="0" w:space="0" w:color="auto"/>
        <w:left w:val="none" w:sz="0" w:space="0" w:color="auto"/>
        <w:bottom w:val="none" w:sz="0" w:space="0" w:color="auto"/>
        <w:right w:val="none" w:sz="0" w:space="0" w:color="auto"/>
      </w:divBdr>
    </w:div>
    <w:div w:id="420949748">
      <w:bodyDiv w:val="1"/>
      <w:marLeft w:val="0"/>
      <w:marRight w:val="0"/>
      <w:marTop w:val="0"/>
      <w:marBottom w:val="0"/>
      <w:divBdr>
        <w:top w:val="none" w:sz="0" w:space="0" w:color="auto"/>
        <w:left w:val="none" w:sz="0" w:space="0" w:color="auto"/>
        <w:bottom w:val="none" w:sz="0" w:space="0" w:color="auto"/>
        <w:right w:val="none" w:sz="0" w:space="0" w:color="auto"/>
      </w:divBdr>
    </w:div>
    <w:div w:id="441650242">
      <w:bodyDiv w:val="1"/>
      <w:marLeft w:val="0"/>
      <w:marRight w:val="0"/>
      <w:marTop w:val="0"/>
      <w:marBottom w:val="0"/>
      <w:divBdr>
        <w:top w:val="none" w:sz="0" w:space="0" w:color="auto"/>
        <w:left w:val="none" w:sz="0" w:space="0" w:color="auto"/>
        <w:bottom w:val="none" w:sz="0" w:space="0" w:color="auto"/>
        <w:right w:val="none" w:sz="0" w:space="0" w:color="auto"/>
      </w:divBdr>
    </w:div>
    <w:div w:id="455948301">
      <w:bodyDiv w:val="1"/>
      <w:marLeft w:val="0"/>
      <w:marRight w:val="0"/>
      <w:marTop w:val="0"/>
      <w:marBottom w:val="0"/>
      <w:divBdr>
        <w:top w:val="none" w:sz="0" w:space="0" w:color="auto"/>
        <w:left w:val="none" w:sz="0" w:space="0" w:color="auto"/>
        <w:bottom w:val="none" w:sz="0" w:space="0" w:color="auto"/>
        <w:right w:val="none" w:sz="0" w:space="0" w:color="auto"/>
      </w:divBdr>
    </w:div>
    <w:div w:id="514002179">
      <w:bodyDiv w:val="1"/>
      <w:marLeft w:val="0"/>
      <w:marRight w:val="0"/>
      <w:marTop w:val="0"/>
      <w:marBottom w:val="0"/>
      <w:divBdr>
        <w:top w:val="none" w:sz="0" w:space="0" w:color="auto"/>
        <w:left w:val="none" w:sz="0" w:space="0" w:color="auto"/>
        <w:bottom w:val="none" w:sz="0" w:space="0" w:color="auto"/>
        <w:right w:val="none" w:sz="0" w:space="0" w:color="auto"/>
      </w:divBdr>
    </w:div>
    <w:div w:id="613366074">
      <w:bodyDiv w:val="1"/>
      <w:marLeft w:val="0"/>
      <w:marRight w:val="0"/>
      <w:marTop w:val="0"/>
      <w:marBottom w:val="0"/>
      <w:divBdr>
        <w:top w:val="none" w:sz="0" w:space="0" w:color="auto"/>
        <w:left w:val="none" w:sz="0" w:space="0" w:color="auto"/>
        <w:bottom w:val="none" w:sz="0" w:space="0" w:color="auto"/>
        <w:right w:val="none" w:sz="0" w:space="0" w:color="auto"/>
      </w:divBdr>
    </w:div>
    <w:div w:id="741099148">
      <w:bodyDiv w:val="1"/>
      <w:marLeft w:val="0"/>
      <w:marRight w:val="0"/>
      <w:marTop w:val="0"/>
      <w:marBottom w:val="0"/>
      <w:divBdr>
        <w:top w:val="none" w:sz="0" w:space="0" w:color="auto"/>
        <w:left w:val="none" w:sz="0" w:space="0" w:color="auto"/>
        <w:bottom w:val="none" w:sz="0" w:space="0" w:color="auto"/>
        <w:right w:val="none" w:sz="0" w:space="0" w:color="auto"/>
      </w:divBdr>
    </w:div>
    <w:div w:id="744449555">
      <w:bodyDiv w:val="1"/>
      <w:marLeft w:val="0"/>
      <w:marRight w:val="0"/>
      <w:marTop w:val="0"/>
      <w:marBottom w:val="0"/>
      <w:divBdr>
        <w:top w:val="none" w:sz="0" w:space="0" w:color="auto"/>
        <w:left w:val="none" w:sz="0" w:space="0" w:color="auto"/>
        <w:bottom w:val="none" w:sz="0" w:space="0" w:color="auto"/>
        <w:right w:val="none" w:sz="0" w:space="0" w:color="auto"/>
      </w:divBdr>
    </w:div>
    <w:div w:id="787897860">
      <w:bodyDiv w:val="1"/>
      <w:marLeft w:val="0"/>
      <w:marRight w:val="0"/>
      <w:marTop w:val="0"/>
      <w:marBottom w:val="0"/>
      <w:divBdr>
        <w:top w:val="none" w:sz="0" w:space="0" w:color="auto"/>
        <w:left w:val="none" w:sz="0" w:space="0" w:color="auto"/>
        <w:bottom w:val="none" w:sz="0" w:space="0" w:color="auto"/>
        <w:right w:val="none" w:sz="0" w:space="0" w:color="auto"/>
      </w:divBdr>
    </w:div>
    <w:div w:id="806508212">
      <w:bodyDiv w:val="1"/>
      <w:marLeft w:val="0"/>
      <w:marRight w:val="0"/>
      <w:marTop w:val="0"/>
      <w:marBottom w:val="0"/>
      <w:divBdr>
        <w:top w:val="none" w:sz="0" w:space="0" w:color="auto"/>
        <w:left w:val="none" w:sz="0" w:space="0" w:color="auto"/>
        <w:bottom w:val="none" w:sz="0" w:space="0" w:color="auto"/>
        <w:right w:val="none" w:sz="0" w:space="0" w:color="auto"/>
      </w:divBdr>
    </w:div>
    <w:div w:id="919144690">
      <w:bodyDiv w:val="1"/>
      <w:marLeft w:val="0"/>
      <w:marRight w:val="0"/>
      <w:marTop w:val="0"/>
      <w:marBottom w:val="0"/>
      <w:divBdr>
        <w:top w:val="none" w:sz="0" w:space="0" w:color="auto"/>
        <w:left w:val="none" w:sz="0" w:space="0" w:color="auto"/>
        <w:bottom w:val="none" w:sz="0" w:space="0" w:color="auto"/>
        <w:right w:val="none" w:sz="0" w:space="0" w:color="auto"/>
      </w:divBdr>
    </w:div>
    <w:div w:id="993026172">
      <w:bodyDiv w:val="1"/>
      <w:marLeft w:val="0"/>
      <w:marRight w:val="0"/>
      <w:marTop w:val="0"/>
      <w:marBottom w:val="0"/>
      <w:divBdr>
        <w:top w:val="none" w:sz="0" w:space="0" w:color="auto"/>
        <w:left w:val="none" w:sz="0" w:space="0" w:color="auto"/>
        <w:bottom w:val="none" w:sz="0" w:space="0" w:color="auto"/>
        <w:right w:val="none" w:sz="0" w:space="0" w:color="auto"/>
      </w:divBdr>
    </w:div>
    <w:div w:id="1073939017">
      <w:bodyDiv w:val="1"/>
      <w:marLeft w:val="0"/>
      <w:marRight w:val="0"/>
      <w:marTop w:val="0"/>
      <w:marBottom w:val="0"/>
      <w:divBdr>
        <w:top w:val="none" w:sz="0" w:space="0" w:color="auto"/>
        <w:left w:val="none" w:sz="0" w:space="0" w:color="auto"/>
        <w:bottom w:val="none" w:sz="0" w:space="0" w:color="auto"/>
        <w:right w:val="none" w:sz="0" w:space="0" w:color="auto"/>
      </w:divBdr>
    </w:div>
    <w:div w:id="1184131825">
      <w:bodyDiv w:val="1"/>
      <w:marLeft w:val="0"/>
      <w:marRight w:val="0"/>
      <w:marTop w:val="0"/>
      <w:marBottom w:val="0"/>
      <w:divBdr>
        <w:top w:val="none" w:sz="0" w:space="0" w:color="auto"/>
        <w:left w:val="none" w:sz="0" w:space="0" w:color="auto"/>
        <w:bottom w:val="none" w:sz="0" w:space="0" w:color="auto"/>
        <w:right w:val="none" w:sz="0" w:space="0" w:color="auto"/>
      </w:divBdr>
    </w:div>
    <w:div w:id="1210072131">
      <w:bodyDiv w:val="1"/>
      <w:marLeft w:val="0"/>
      <w:marRight w:val="0"/>
      <w:marTop w:val="0"/>
      <w:marBottom w:val="0"/>
      <w:divBdr>
        <w:top w:val="none" w:sz="0" w:space="0" w:color="auto"/>
        <w:left w:val="none" w:sz="0" w:space="0" w:color="auto"/>
        <w:bottom w:val="none" w:sz="0" w:space="0" w:color="auto"/>
        <w:right w:val="none" w:sz="0" w:space="0" w:color="auto"/>
      </w:divBdr>
    </w:div>
    <w:div w:id="1298487405">
      <w:bodyDiv w:val="1"/>
      <w:marLeft w:val="0"/>
      <w:marRight w:val="0"/>
      <w:marTop w:val="0"/>
      <w:marBottom w:val="0"/>
      <w:divBdr>
        <w:top w:val="none" w:sz="0" w:space="0" w:color="auto"/>
        <w:left w:val="none" w:sz="0" w:space="0" w:color="auto"/>
        <w:bottom w:val="none" w:sz="0" w:space="0" w:color="auto"/>
        <w:right w:val="none" w:sz="0" w:space="0" w:color="auto"/>
      </w:divBdr>
    </w:div>
    <w:div w:id="1324970152">
      <w:bodyDiv w:val="1"/>
      <w:marLeft w:val="0"/>
      <w:marRight w:val="0"/>
      <w:marTop w:val="0"/>
      <w:marBottom w:val="0"/>
      <w:divBdr>
        <w:top w:val="none" w:sz="0" w:space="0" w:color="auto"/>
        <w:left w:val="none" w:sz="0" w:space="0" w:color="auto"/>
        <w:bottom w:val="none" w:sz="0" w:space="0" w:color="auto"/>
        <w:right w:val="none" w:sz="0" w:space="0" w:color="auto"/>
      </w:divBdr>
    </w:div>
    <w:div w:id="1345934717">
      <w:bodyDiv w:val="1"/>
      <w:marLeft w:val="0"/>
      <w:marRight w:val="0"/>
      <w:marTop w:val="0"/>
      <w:marBottom w:val="0"/>
      <w:divBdr>
        <w:top w:val="none" w:sz="0" w:space="0" w:color="auto"/>
        <w:left w:val="none" w:sz="0" w:space="0" w:color="auto"/>
        <w:bottom w:val="none" w:sz="0" w:space="0" w:color="auto"/>
        <w:right w:val="none" w:sz="0" w:space="0" w:color="auto"/>
      </w:divBdr>
    </w:div>
    <w:div w:id="1417362138">
      <w:bodyDiv w:val="1"/>
      <w:marLeft w:val="0"/>
      <w:marRight w:val="0"/>
      <w:marTop w:val="0"/>
      <w:marBottom w:val="0"/>
      <w:divBdr>
        <w:top w:val="none" w:sz="0" w:space="0" w:color="auto"/>
        <w:left w:val="none" w:sz="0" w:space="0" w:color="auto"/>
        <w:bottom w:val="none" w:sz="0" w:space="0" w:color="auto"/>
        <w:right w:val="none" w:sz="0" w:space="0" w:color="auto"/>
      </w:divBdr>
    </w:div>
    <w:div w:id="1424764804">
      <w:bodyDiv w:val="1"/>
      <w:marLeft w:val="0"/>
      <w:marRight w:val="0"/>
      <w:marTop w:val="0"/>
      <w:marBottom w:val="0"/>
      <w:divBdr>
        <w:top w:val="none" w:sz="0" w:space="0" w:color="auto"/>
        <w:left w:val="none" w:sz="0" w:space="0" w:color="auto"/>
        <w:bottom w:val="none" w:sz="0" w:space="0" w:color="auto"/>
        <w:right w:val="none" w:sz="0" w:space="0" w:color="auto"/>
      </w:divBdr>
    </w:div>
    <w:div w:id="1583291805">
      <w:bodyDiv w:val="1"/>
      <w:marLeft w:val="0"/>
      <w:marRight w:val="0"/>
      <w:marTop w:val="0"/>
      <w:marBottom w:val="0"/>
      <w:divBdr>
        <w:top w:val="none" w:sz="0" w:space="0" w:color="auto"/>
        <w:left w:val="none" w:sz="0" w:space="0" w:color="auto"/>
        <w:bottom w:val="none" w:sz="0" w:space="0" w:color="auto"/>
        <w:right w:val="none" w:sz="0" w:space="0" w:color="auto"/>
      </w:divBdr>
    </w:div>
    <w:div w:id="1618831739">
      <w:bodyDiv w:val="1"/>
      <w:marLeft w:val="0"/>
      <w:marRight w:val="0"/>
      <w:marTop w:val="0"/>
      <w:marBottom w:val="0"/>
      <w:divBdr>
        <w:top w:val="none" w:sz="0" w:space="0" w:color="auto"/>
        <w:left w:val="none" w:sz="0" w:space="0" w:color="auto"/>
        <w:bottom w:val="none" w:sz="0" w:space="0" w:color="auto"/>
        <w:right w:val="none" w:sz="0" w:space="0" w:color="auto"/>
      </w:divBdr>
    </w:div>
    <w:div w:id="1629699799">
      <w:bodyDiv w:val="1"/>
      <w:marLeft w:val="0"/>
      <w:marRight w:val="0"/>
      <w:marTop w:val="0"/>
      <w:marBottom w:val="0"/>
      <w:divBdr>
        <w:top w:val="none" w:sz="0" w:space="0" w:color="auto"/>
        <w:left w:val="none" w:sz="0" w:space="0" w:color="auto"/>
        <w:bottom w:val="none" w:sz="0" w:space="0" w:color="auto"/>
        <w:right w:val="none" w:sz="0" w:space="0" w:color="auto"/>
      </w:divBdr>
    </w:div>
    <w:div w:id="1673026923">
      <w:bodyDiv w:val="1"/>
      <w:marLeft w:val="0"/>
      <w:marRight w:val="0"/>
      <w:marTop w:val="0"/>
      <w:marBottom w:val="0"/>
      <w:divBdr>
        <w:top w:val="none" w:sz="0" w:space="0" w:color="auto"/>
        <w:left w:val="none" w:sz="0" w:space="0" w:color="auto"/>
        <w:bottom w:val="none" w:sz="0" w:space="0" w:color="auto"/>
        <w:right w:val="none" w:sz="0" w:space="0" w:color="auto"/>
      </w:divBdr>
    </w:div>
    <w:div w:id="1703244549">
      <w:bodyDiv w:val="1"/>
      <w:marLeft w:val="0"/>
      <w:marRight w:val="0"/>
      <w:marTop w:val="0"/>
      <w:marBottom w:val="0"/>
      <w:divBdr>
        <w:top w:val="none" w:sz="0" w:space="0" w:color="auto"/>
        <w:left w:val="none" w:sz="0" w:space="0" w:color="auto"/>
        <w:bottom w:val="none" w:sz="0" w:space="0" w:color="auto"/>
        <w:right w:val="none" w:sz="0" w:space="0" w:color="auto"/>
      </w:divBdr>
    </w:div>
    <w:div w:id="1785882443">
      <w:bodyDiv w:val="1"/>
      <w:marLeft w:val="0"/>
      <w:marRight w:val="0"/>
      <w:marTop w:val="0"/>
      <w:marBottom w:val="0"/>
      <w:divBdr>
        <w:top w:val="none" w:sz="0" w:space="0" w:color="auto"/>
        <w:left w:val="none" w:sz="0" w:space="0" w:color="auto"/>
        <w:bottom w:val="none" w:sz="0" w:space="0" w:color="auto"/>
        <w:right w:val="none" w:sz="0" w:space="0" w:color="auto"/>
      </w:divBdr>
    </w:div>
    <w:div w:id="1833254002">
      <w:bodyDiv w:val="1"/>
      <w:marLeft w:val="0"/>
      <w:marRight w:val="0"/>
      <w:marTop w:val="0"/>
      <w:marBottom w:val="0"/>
      <w:divBdr>
        <w:top w:val="none" w:sz="0" w:space="0" w:color="auto"/>
        <w:left w:val="none" w:sz="0" w:space="0" w:color="auto"/>
        <w:bottom w:val="none" w:sz="0" w:space="0" w:color="auto"/>
        <w:right w:val="none" w:sz="0" w:space="0" w:color="auto"/>
      </w:divBdr>
    </w:div>
    <w:div w:id="1855878668">
      <w:bodyDiv w:val="1"/>
      <w:marLeft w:val="0"/>
      <w:marRight w:val="0"/>
      <w:marTop w:val="0"/>
      <w:marBottom w:val="0"/>
      <w:divBdr>
        <w:top w:val="none" w:sz="0" w:space="0" w:color="auto"/>
        <w:left w:val="none" w:sz="0" w:space="0" w:color="auto"/>
        <w:bottom w:val="none" w:sz="0" w:space="0" w:color="auto"/>
        <w:right w:val="none" w:sz="0" w:space="0" w:color="auto"/>
      </w:divBdr>
    </w:div>
    <w:div w:id="2032753068">
      <w:bodyDiv w:val="1"/>
      <w:marLeft w:val="0"/>
      <w:marRight w:val="0"/>
      <w:marTop w:val="0"/>
      <w:marBottom w:val="0"/>
      <w:divBdr>
        <w:top w:val="none" w:sz="0" w:space="0" w:color="auto"/>
        <w:left w:val="none" w:sz="0" w:space="0" w:color="auto"/>
        <w:bottom w:val="none" w:sz="0" w:space="0" w:color="auto"/>
        <w:right w:val="none" w:sz="0" w:space="0" w:color="auto"/>
      </w:divBdr>
    </w:div>
    <w:div w:id="2133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 N</vt:lpstr>
    </vt:vector>
  </TitlesOfParts>
  <Company>ADIA</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dc:title>
  <dc:creator>Big Bill</dc:creator>
  <cp:lastModifiedBy>juliet</cp:lastModifiedBy>
  <cp:revision>2</cp:revision>
  <cp:lastPrinted>2007-01-12T20:33:00Z</cp:lastPrinted>
  <dcterms:created xsi:type="dcterms:W3CDTF">2020-04-14T14:31:00Z</dcterms:created>
  <dcterms:modified xsi:type="dcterms:W3CDTF">2020-04-14T14:31:00Z</dcterms:modified>
</cp:coreProperties>
</file>